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84C" w:rsidRPr="0077713E" w:rsidRDefault="0073184C" w:rsidP="0073184C">
      <w:pPr>
        <w:rPr>
          <w:rFonts w:asciiTheme="majorHAnsi" w:hAnsiTheme="majorHAnsi" w:cstheme="majorHAnsi"/>
          <w:b/>
          <w:sz w:val="24"/>
          <w:szCs w:val="24"/>
        </w:rPr>
      </w:pPr>
      <w:bookmarkStart w:id="0" w:name="_GoBack"/>
      <w:bookmarkEnd w:id="0"/>
      <w:r w:rsidRPr="0077713E">
        <w:rPr>
          <w:rFonts w:asciiTheme="majorHAnsi" w:hAnsiTheme="majorHAnsi" w:cstheme="majorHAnsi"/>
          <w:b/>
          <w:sz w:val="24"/>
          <w:szCs w:val="24"/>
        </w:rPr>
        <w:t>Fire Protection Research Foundation Project</w:t>
      </w:r>
    </w:p>
    <w:p w:rsidR="0073184C" w:rsidRPr="0077713E" w:rsidRDefault="0073184C" w:rsidP="0073184C">
      <w:pPr>
        <w:rPr>
          <w:rFonts w:asciiTheme="majorHAnsi" w:hAnsiTheme="majorHAnsi" w:cstheme="majorHAnsi"/>
          <w:b/>
          <w:sz w:val="24"/>
          <w:szCs w:val="24"/>
        </w:rPr>
      </w:pPr>
      <w:r w:rsidRPr="0077713E">
        <w:rPr>
          <w:rFonts w:asciiTheme="majorHAnsi" w:hAnsiTheme="majorHAnsi" w:cstheme="majorHAnsi"/>
          <w:b/>
          <w:sz w:val="24"/>
          <w:szCs w:val="24"/>
        </w:rPr>
        <w:t xml:space="preserve">Data Collection </w:t>
      </w:r>
      <w:r w:rsidR="00926B1B">
        <w:rPr>
          <w:rFonts w:asciiTheme="majorHAnsi" w:hAnsiTheme="majorHAnsi" w:cstheme="majorHAnsi"/>
          <w:b/>
          <w:sz w:val="24"/>
          <w:szCs w:val="24"/>
        </w:rPr>
        <w:t xml:space="preserve">and Analysis </w:t>
      </w:r>
      <w:r w:rsidRPr="0077713E">
        <w:rPr>
          <w:rFonts w:asciiTheme="majorHAnsi" w:hAnsiTheme="majorHAnsi" w:cstheme="majorHAnsi"/>
          <w:b/>
          <w:sz w:val="24"/>
          <w:szCs w:val="24"/>
        </w:rPr>
        <w:t>Plan</w:t>
      </w:r>
      <w:r w:rsidR="00926B1B">
        <w:rPr>
          <w:rFonts w:asciiTheme="majorHAnsi" w:hAnsiTheme="majorHAnsi" w:cstheme="majorHAnsi"/>
          <w:b/>
          <w:sz w:val="24"/>
          <w:szCs w:val="24"/>
        </w:rPr>
        <w:t xml:space="preserve"> for Eval</w:t>
      </w:r>
      <w:r w:rsidR="00926B1B" w:rsidRPr="0077713E">
        <w:rPr>
          <w:rFonts w:asciiTheme="majorHAnsi" w:hAnsiTheme="majorHAnsi" w:cstheme="majorHAnsi"/>
          <w:b/>
          <w:sz w:val="24"/>
          <w:szCs w:val="24"/>
        </w:rPr>
        <w:t>uation of Electrical Feeder and Branch Circuit Loading</w:t>
      </w:r>
      <w:r w:rsidR="00926B1B">
        <w:rPr>
          <w:rFonts w:asciiTheme="majorHAnsi" w:hAnsiTheme="majorHAnsi" w:cstheme="majorHAnsi"/>
          <w:b/>
          <w:sz w:val="24"/>
          <w:szCs w:val="24"/>
        </w:rPr>
        <w:t xml:space="preserve"> Project Phase II</w:t>
      </w:r>
    </w:p>
    <w:p w:rsidR="007A13B1" w:rsidRDefault="00926B1B" w:rsidP="0073184C">
      <w:pPr>
        <w:rPr>
          <w:rFonts w:asciiTheme="majorHAnsi" w:hAnsiTheme="majorHAnsi" w:cstheme="majorHAnsi"/>
        </w:rPr>
      </w:pPr>
      <w:r>
        <w:rPr>
          <w:rFonts w:asciiTheme="majorHAnsi" w:hAnsiTheme="majorHAnsi" w:cstheme="majorHAnsi"/>
        </w:rPr>
        <w:t>Drafted by Tammy Gammon, PhD, PE</w:t>
      </w:r>
    </w:p>
    <w:p w:rsidR="00926B1B" w:rsidRDefault="00926B1B" w:rsidP="0073184C">
      <w:pPr>
        <w:rPr>
          <w:rFonts w:asciiTheme="majorHAnsi" w:hAnsiTheme="majorHAnsi" w:cstheme="majorHAnsi"/>
        </w:rPr>
      </w:pPr>
    </w:p>
    <w:p w:rsidR="0073184C" w:rsidRPr="0077713E" w:rsidRDefault="00057342" w:rsidP="0073184C">
      <w:pPr>
        <w:rPr>
          <w:rFonts w:asciiTheme="majorHAnsi" w:hAnsiTheme="majorHAnsi" w:cstheme="majorHAnsi"/>
          <w:b/>
        </w:rPr>
      </w:pPr>
      <w:r w:rsidRPr="0077713E">
        <w:rPr>
          <w:rFonts w:asciiTheme="majorHAnsi" w:hAnsiTheme="majorHAnsi" w:cstheme="majorHAnsi"/>
          <w:b/>
        </w:rPr>
        <w:t>Motivation for Project</w:t>
      </w:r>
    </w:p>
    <w:p w:rsidR="007E629A" w:rsidRDefault="00AB307A" w:rsidP="00AB307A">
      <w:r>
        <w:t xml:space="preserve">Although electrical systems </w:t>
      </w:r>
      <w:r w:rsidR="006A70EA">
        <w:t xml:space="preserve">are utilized </w:t>
      </w:r>
      <w:r>
        <w:t>from the bottom</w:t>
      </w:r>
      <w:r w:rsidR="006A70EA">
        <w:t xml:space="preserve"> </w:t>
      </w:r>
      <w:r>
        <w:t xml:space="preserve">up, </w:t>
      </w:r>
      <w:r w:rsidR="006A70EA">
        <w:t xml:space="preserve">they are designed </w:t>
      </w:r>
      <w:r>
        <w:t>from the top</w:t>
      </w:r>
      <w:r w:rsidR="006A70EA">
        <w:t xml:space="preserve"> </w:t>
      </w:r>
      <w:r>
        <w:t xml:space="preserve">down. </w:t>
      </w:r>
      <w:r w:rsidR="00CC5D68">
        <w:t xml:space="preserve">When a building is constructed, the transformer supplying the main feeder is installed </w:t>
      </w:r>
      <w:r w:rsidR="00B330F8">
        <w:t>b</w:t>
      </w:r>
      <w:r w:rsidR="00CC5D68">
        <w:t>efore the procurement of all electrical equipment serv</w:t>
      </w:r>
      <w:r w:rsidR="00106004">
        <w:t>ing</w:t>
      </w:r>
      <w:r w:rsidR="00CC5D68">
        <w:t xml:space="preserve"> the building. </w:t>
      </w:r>
      <w:r w:rsidR="007E629A">
        <w:t>Engineers determine the building power requirements based on the connected and demand load calculations subdivided in the following (or similar) categories:</w:t>
      </w:r>
    </w:p>
    <w:p w:rsidR="007E629A" w:rsidRDefault="007E629A" w:rsidP="007E629A">
      <w:pPr>
        <w:spacing w:after="0"/>
      </w:pPr>
      <w:r>
        <w:t>Receptacle</w:t>
      </w:r>
      <w:r>
        <w:tab/>
        <w:t>Lighting</w:t>
      </w:r>
      <w:r>
        <w:tab/>
        <w:t>Heat</w:t>
      </w:r>
      <w:r>
        <w:tab/>
      </w:r>
      <w:r>
        <w:tab/>
        <w:t>Cooling</w:t>
      </w:r>
    </w:p>
    <w:p w:rsidR="007E629A" w:rsidRDefault="007E629A" w:rsidP="007E629A">
      <w:r>
        <w:t>Motor</w:t>
      </w:r>
      <w:r>
        <w:tab/>
      </w:r>
      <w:r>
        <w:tab/>
        <w:t>Other</w:t>
      </w:r>
      <w:r>
        <w:tab/>
      </w:r>
      <w:r>
        <w:tab/>
        <w:t>Spare</w:t>
      </w:r>
    </w:p>
    <w:p w:rsidR="006A70EA" w:rsidRDefault="00106004" w:rsidP="00106004">
      <w:r>
        <w:t>The “Heat” load might consist of electric heating elements in the HVAC</w:t>
      </w:r>
      <w:r w:rsidR="005C4A0D">
        <w:t xml:space="preserve"> system</w:t>
      </w:r>
      <w:r>
        <w:t xml:space="preserve">, permanent space heating, and water heaters. In a commercial building, the “Motor” load might </w:t>
      </w:r>
      <w:r w:rsidR="006A70EA">
        <w:t>include</w:t>
      </w:r>
      <w:r>
        <w:t xml:space="preserve"> elevator</w:t>
      </w:r>
      <w:r w:rsidR="006A70EA">
        <w:t xml:space="preserve">s, exhaust fans, and pumps required for building function. </w:t>
      </w:r>
      <w:r>
        <w:t>The “Other” load might consist of any dedicated building equipment identified early in the design process.</w:t>
      </w:r>
      <w:r w:rsidR="006A70EA">
        <w:t xml:space="preserve"> The “Heat,” “Cooling,” “Motor” and “Other” loads are based </w:t>
      </w:r>
      <w:r w:rsidR="00C017EF">
        <w:t>on known building service demands. The power</w:t>
      </w:r>
      <w:r w:rsidR="003F3FE1">
        <w:t xml:space="preserve"> required for these loads </w:t>
      </w:r>
      <w:r w:rsidR="00C017EF">
        <w:t xml:space="preserve">may be based on </w:t>
      </w:r>
      <w:r w:rsidR="00E00DA6">
        <w:t>the</w:t>
      </w:r>
      <w:r w:rsidR="00C017EF">
        <w:t xml:space="preserve"> </w:t>
      </w:r>
      <w:r w:rsidR="00E00DA6">
        <w:t xml:space="preserve">specified </w:t>
      </w:r>
      <w:r w:rsidR="00C017EF">
        <w:t>equipment</w:t>
      </w:r>
      <w:r w:rsidR="003F3FE1">
        <w:t xml:space="preserve"> or</w:t>
      </w:r>
      <w:r w:rsidR="00C017EF">
        <w:t xml:space="preserve"> estimated </w:t>
      </w:r>
      <w:r w:rsidR="003F3FE1">
        <w:t xml:space="preserve">from </w:t>
      </w:r>
      <w:r w:rsidR="00C017EF">
        <w:t xml:space="preserve">other equipment </w:t>
      </w:r>
      <w:r w:rsidR="00E00DA6">
        <w:t xml:space="preserve">capable of </w:t>
      </w:r>
      <w:r w:rsidR="00C017EF">
        <w:t>meet</w:t>
      </w:r>
      <w:r w:rsidR="00E00DA6">
        <w:t>ing</w:t>
      </w:r>
      <w:r w:rsidR="00C017EF">
        <w:t xml:space="preserve"> the service demand.</w:t>
      </w:r>
    </w:p>
    <w:p w:rsidR="00106004" w:rsidRDefault="006A70EA" w:rsidP="00106004">
      <w:r>
        <w:t>S</w:t>
      </w:r>
      <w:r w:rsidR="00106004">
        <w:t xml:space="preserve">pare capacity </w:t>
      </w:r>
      <w:r>
        <w:t xml:space="preserve">may be </w:t>
      </w:r>
      <w:r w:rsidR="005C4A0D">
        <w:t>added to one or</w:t>
      </w:r>
      <w:r>
        <w:t xml:space="preserve"> all building </w:t>
      </w:r>
      <w:r w:rsidR="00106004">
        <w:t>panels</w:t>
      </w:r>
      <w:r>
        <w:t xml:space="preserve"> </w:t>
      </w:r>
      <w:r w:rsidR="00106004">
        <w:t>to accommodate both anticipated and unforeseen additional load.</w:t>
      </w:r>
      <w:r w:rsidR="005C4A0D">
        <w:t xml:space="preserve"> Panel and feeder sizing are based on the demand power requirements which </w:t>
      </w:r>
      <w:r w:rsidR="003F3FE1">
        <w:t xml:space="preserve">often </w:t>
      </w:r>
      <w:r w:rsidR="005C4A0D">
        <w:t>includes spare capacity.</w:t>
      </w:r>
      <w:r w:rsidR="00106004">
        <w:t xml:space="preserve"> </w:t>
      </w:r>
    </w:p>
    <w:p w:rsidR="00F15A05" w:rsidRDefault="00E669DD" w:rsidP="00106004">
      <w:r>
        <w:t>Branch circuit r</w:t>
      </w:r>
      <w:r w:rsidR="00363803">
        <w:t>equirements for receptacle load power density are specified in NEC 220.14. The receptacle load is calculated at 180VA for each single or multiple receptacle</w:t>
      </w:r>
      <w:r>
        <w:t>s</w:t>
      </w:r>
      <w:r w:rsidR="00363803">
        <w:t xml:space="preserve"> on one yolk. Equi</w:t>
      </w:r>
      <w:r w:rsidR="0009578D">
        <w:t xml:space="preserve">pment with four or more outlets is calculated at </w:t>
      </w:r>
      <w:r w:rsidR="00E00DA6">
        <w:t>a minimum of</w:t>
      </w:r>
      <w:r w:rsidR="0009578D">
        <w:t xml:space="preserve"> 90VA per receptacle. For feeder</w:t>
      </w:r>
      <w:r w:rsidR="00D77D9A">
        <w:t xml:space="preserve"> and service-load</w:t>
      </w:r>
      <w:r w:rsidR="0009578D">
        <w:t xml:space="preserve"> calculations, </w:t>
      </w:r>
      <w:r w:rsidR="00F37167">
        <w:t xml:space="preserve">NEC 220.44 </w:t>
      </w:r>
      <w:r w:rsidR="00595DCA">
        <w:t>permits</w:t>
      </w:r>
      <w:r w:rsidR="00F37167">
        <w:t xml:space="preserve"> </w:t>
      </w:r>
      <w:r w:rsidR="0009578D">
        <w:t>th</w:t>
      </w:r>
      <w:r w:rsidR="00E00DA6">
        <w:t>at the</w:t>
      </w:r>
      <w:r w:rsidR="0009578D">
        <w:t xml:space="preserve"> </w:t>
      </w:r>
      <w:r>
        <w:t xml:space="preserve">calculated </w:t>
      </w:r>
      <w:r w:rsidR="0009578D">
        <w:t xml:space="preserve">receptacle </w:t>
      </w:r>
      <w:r>
        <w:t xml:space="preserve">demand load </w:t>
      </w:r>
      <w:r w:rsidR="00595DCA">
        <w:t>may be</w:t>
      </w:r>
      <w:r>
        <w:t xml:space="preserve"> 100% of the first 10kVA </w:t>
      </w:r>
      <w:r w:rsidR="00E00DA6">
        <w:t xml:space="preserve">plus </w:t>
      </w:r>
      <w:r>
        <w:t>50% of the remaining kVA.</w:t>
      </w:r>
      <w:r w:rsidR="0009578D">
        <w:t xml:space="preserve"> </w:t>
      </w:r>
      <w:r>
        <w:t>Many practicing engineers question the 180VA design requirement</w:t>
      </w:r>
      <w:r w:rsidR="00F37167">
        <w:t xml:space="preserve"> especially in today’s changing technology market and </w:t>
      </w:r>
      <w:r w:rsidR="00E00DA6">
        <w:t xml:space="preserve">changing </w:t>
      </w:r>
      <w:r w:rsidR="00F37167">
        <w:t xml:space="preserve">receptacle usage. </w:t>
      </w:r>
      <w:proofErr w:type="spellStart"/>
      <w:r w:rsidR="00F37167">
        <w:t>Morever</w:t>
      </w:r>
      <w:proofErr w:type="spellEnd"/>
      <w:r w:rsidR="00F37167">
        <w:t>, the</w:t>
      </w:r>
      <w:r>
        <w:t xml:space="preserve"> NEC </w:t>
      </w:r>
      <w:r w:rsidR="00F37167">
        <w:t xml:space="preserve">180VA </w:t>
      </w:r>
      <w:r>
        <w:t xml:space="preserve">requirement </w:t>
      </w:r>
      <w:r w:rsidR="00F37167">
        <w:t>dates back</w:t>
      </w:r>
      <w:r>
        <w:t xml:space="preserve"> 1937. The National Electric</w:t>
      </w:r>
      <w:r w:rsidR="003B498A">
        <w:t>al</w:t>
      </w:r>
      <w:r>
        <w:t xml:space="preserve"> Code has been adopted statewide in 47 states, and its enforcement lies upon the authority having jurisdiction. However, even engineers in areas with statewide adoption have been kno</w:t>
      </w:r>
      <w:r w:rsidR="00F37167">
        <w:t>wn to not always adhere to the NEC;</w:t>
      </w:r>
      <w:r w:rsidR="00D77D9A">
        <w:t xml:space="preserve"> a review of a few sets of electrical plans uncovered three variations of the NEC feeder and service-load receptacle calculations, in addition to engineering judgement in the </w:t>
      </w:r>
      <w:r w:rsidR="009109FA">
        <w:t>branch circuit design.</w:t>
      </w:r>
    </w:p>
    <w:p w:rsidR="009109FA" w:rsidRDefault="005C4A0D" w:rsidP="00106004">
      <w:r>
        <w:t>Like heat, cooling, motor, and other loads, lighting fixtures are fixed loads with specific power requirements. The Illumination Engineering Society has set guidelines on the illumination levels required to adequately light a space for specific work tasks. Engineers and lighting designers design fixture layout</w:t>
      </w:r>
      <w:r w:rsidR="009109FA">
        <w:t>s</w:t>
      </w:r>
      <w:r>
        <w:t xml:space="preserve"> to provide adequate illumination levels. </w:t>
      </w:r>
      <w:r w:rsidR="00062863">
        <w:t>But it has also been estimated that up to 40% of all lighting projects are designed by electrical contractors</w:t>
      </w:r>
      <w:r w:rsidR="00F215CE">
        <w:t xml:space="preserve"> [Source: Mark Lien from IES</w:t>
      </w:r>
      <w:r w:rsidR="009109FA">
        <w:t>]</w:t>
      </w:r>
      <w:r w:rsidR="00062863">
        <w:t>. The NEC specifies the minimum lighting load power density by occupancy</w:t>
      </w:r>
      <w:r w:rsidR="00FE529F">
        <w:t xml:space="preserve"> </w:t>
      </w:r>
      <w:r w:rsidR="009109FA">
        <w:t xml:space="preserve">type </w:t>
      </w:r>
      <w:r w:rsidR="00FE529F">
        <w:t xml:space="preserve">in Table </w:t>
      </w:r>
      <w:r w:rsidR="00FE529F">
        <w:lastRenderedPageBreak/>
        <w:t>220.12</w:t>
      </w:r>
      <w:r w:rsidR="00371458">
        <w:t>, included as Table 1 here.</w:t>
      </w:r>
      <w:r w:rsidR="00062863">
        <w:t xml:space="preserve"> </w:t>
      </w:r>
      <w:r w:rsidR="009109FA">
        <w:t>As Table 1 illustrates, t</w:t>
      </w:r>
      <w:r w:rsidR="00AA0058">
        <w:t>he load requirements have largely been in effect since at least 1968 with few</w:t>
      </w:r>
      <w:r w:rsidR="0085792F">
        <w:t xml:space="preserve"> modifications, yet lighting technologies have advanced and become much more energy efficient in the last fifty years</w:t>
      </w:r>
      <w:r w:rsidR="00AA0058">
        <w:t>.</w:t>
      </w:r>
      <w:r w:rsidR="00371458">
        <w:t xml:space="preserve"> </w:t>
      </w:r>
    </w:p>
    <w:p w:rsidR="0085792F" w:rsidRDefault="00371458" w:rsidP="00106004">
      <w:r>
        <w:t>The commercial reference building model</w:t>
      </w:r>
      <w:r w:rsidR="009109FA">
        <w:t xml:space="preserve"> for new construction,</w:t>
      </w:r>
      <w:r>
        <w:t xml:space="preserve"> developed for the U.S. Department of Energy</w:t>
      </w:r>
      <w:r w:rsidR="009109FA">
        <w:t>,</w:t>
      </w:r>
      <w:r>
        <w:t xml:space="preserve"> uses the lighting power densities of ASHRAE 90.1-2004. </w:t>
      </w:r>
      <w:r w:rsidR="009109FA">
        <w:t>Lighting power densities for ASHRAE 90.1</w:t>
      </w:r>
      <w:r w:rsidR="00926B1B">
        <w:t xml:space="preserve"> </w:t>
      </w:r>
      <w:r w:rsidR="00057342">
        <w:t xml:space="preserve">building </w:t>
      </w:r>
      <w:r w:rsidR="002C1F74">
        <w:t>area types</w:t>
      </w:r>
      <w:r w:rsidR="00057342">
        <w:t xml:space="preserve"> </w:t>
      </w:r>
      <w:r w:rsidR="009109FA">
        <w:t xml:space="preserve">equivalent to NEC </w:t>
      </w:r>
      <w:r w:rsidR="002C1F74">
        <w:t xml:space="preserve">occupancy types </w:t>
      </w:r>
      <w:r w:rsidR="009109FA">
        <w:t>are listed in Table 1</w:t>
      </w:r>
      <w:r w:rsidR="00926B1B">
        <w:t>. The lighting power densities of ASHRAE 90.1-2013 and even 90.1-2004 di</w:t>
      </w:r>
      <w:r w:rsidR="00057342">
        <w:t>ffer significantly with the 2017 NEC.</w:t>
      </w:r>
    </w:p>
    <w:p w:rsidR="00057342" w:rsidRDefault="003A0A33" w:rsidP="00057342">
      <w:pPr>
        <w:spacing w:after="80"/>
        <w:jc w:val="center"/>
      </w:pPr>
      <w:r>
        <w:t xml:space="preserve">Table 1. </w:t>
      </w:r>
      <w:r w:rsidR="00057342">
        <w:t>NEC and ASHRAE 90.1 Lighting Power Density (W/ft</w:t>
      </w:r>
      <w:r w:rsidR="00057342" w:rsidRPr="001226C6">
        <w:rPr>
          <w:vertAlign w:val="superscript"/>
        </w:rPr>
        <w:t>2</w:t>
      </w:r>
      <w:r w:rsidR="00057342">
        <w:t xml:space="preserve">) </w:t>
      </w:r>
      <w:r w:rsidR="00926B1B">
        <w:t>by</w:t>
      </w:r>
      <w:r w:rsidR="00057342">
        <w:t xml:space="preserve"> Occupancy</w:t>
      </w:r>
      <w:r w:rsidR="00926B1B">
        <w:t xml:space="preserve"> Type</w:t>
      </w:r>
    </w:p>
    <w:tbl>
      <w:tblPr>
        <w:tblStyle w:val="GridTable4-Accent1"/>
        <w:tblW w:w="5000" w:type="pct"/>
        <w:tblLook w:val="04A0" w:firstRow="1" w:lastRow="0" w:firstColumn="1" w:lastColumn="0" w:noHBand="0" w:noVBand="1"/>
      </w:tblPr>
      <w:tblGrid>
        <w:gridCol w:w="4025"/>
        <w:gridCol w:w="887"/>
        <w:gridCol w:w="888"/>
        <w:gridCol w:w="887"/>
        <w:gridCol w:w="888"/>
        <w:gridCol w:w="887"/>
        <w:gridCol w:w="888"/>
      </w:tblGrid>
      <w:tr w:rsidR="00057342" w:rsidTr="005A76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r>
              <w:t>Type of Occupancy</w:t>
            </w:r>
          </w:p>
        </w:tc>
        <w:tc>
          <w:tcPr>
            <w:tcW w:w="887" w:type="dxa"/>
          </w:tcPr>
          <w:p w:rsidR="00057342" w:rsidRDefault="00057342" w:rsidP="005A76DF">
            <w:pPr>
              <w:jc w:val="center"/>
              <w:cnfStyle w:val="100000000000" w:firstRow="1" w:lastRow="0" w:firstColumn="0" w:lastColumn="0" w:oddVBand="0" w:evenVBand="0" w:oddHBand="0" w:evenHBand="0" w:firstRowFirstColumn="0" w:firstRowLastColumn="0" w:lastRowFirstColumn="0" w:lastRowLastColumn="0"/>
            </w:pPr>
            <w:r>
              <w:t>NEC</w:t>
            </w:r>
          </w:p>
          <w:p w:rsidR="00057342" w:rsidRDefault="00057342" w:rsidP="005A76DF">
            <w:pPr>
              <w:jc w:val="center"/>
              <w:cnfStyle w:val="100000000000" w:firstRow="1" w:lastRow="0" w:firstColumn="0" w:lastColumn="0" w:oddVBand="0" w:evenVBand="0" w:oddHBand="0" w:evenHBand="0" w:firstRowFirstColumn="0" w:firstRowLastColumn="0" w:lastRowFirstColumn="0" w:lastRowLastColumn="0"/>
            </w:pPr>
            <w:r>
              <w:t>1968</w:t>
            </w:r>
          </w:p>
        </w:tc>
        <w:tc>
          <w:tcPr>
            <w:tcW w:w="888" w:type="dxa"/>
          </w:tcPr>
          <w:p w:rsidR="00057342" w:rsidRDefault="00057342" w:rsidP="005A76DF">
            <w:pPr>
              <w:jc w:val="center"/>
              <w:cnfStyle w:val="100000000000" w:firstRow="1" w:lastRow="0" w:firstColumn="0" w:lastColumn="0" w:oddVBand="0" w:evenVBand="0" w:oddHBand="0" w:evenHBand="0" w:firstRowFirstColumn="0" w:firstRowLastColumn="0" w:lastRowFirstColumn="0" w:lastRowLastColumn="0"/>
            </w:pPr>
            <w:r>
              <w:t>NEC</w:t>
            </w:r>
          </w:p>
          <w:p w:rsidR="00057342" w:rsidRDefault="00057342" w:rsidP="005A76DF">
            <w:pPr>
              <w:jc w:val="center"/>
              <w:cnfStyle w:val="100000000000" w:firstRow="1" w:lastRow="0" w:firstColumn="0" w:lastColumn="0" w:oddVBand="0" w:evenVBand="0" w:oddHBand="0" w:evenHBand="0" w:firstRowFirstColumn="0" w:firstRowLastColumn="0" w:lastRowFirstColumn="0" w:lastRowLastColumn="0"/>
            </w:pPr>
            <w:r>
              <w:t>1971</w:t>
            </w:r>
          </w:p>
        </w:tc>
        <w:tc>
          <w:tcPr>
            <w:tcW w:w="887" w:type="dxa"/>
          </w:tcPr>
          <w:p w:rsidR="00057342" w:rsidRDefault="00057342" w:rsidP="005A76DF">
            <w:pPr>
              <w:jc w:val="center"/>
              <w:cnfStyle w:val="100000000000" w:firstRow="1" w:lastRow="0" w:firstColumn="0" w:lastColumn="0" w:oddVBand="0" w:evenVBand="0" w:oddHBand="0" w:evenHBand="0" w:firstRowFirstColumn="0" w:firstRowLastColumn="0" w:lastRowFirstColumn="0" w:lastRowLastColumn="0"/>
            </w:pPr>
            <w:r>
              <w:t>NEC</w:t>
            </w:r>
          </w:p>
          <w:p w:rsidR="00057342" w:rsidRDefault="00057342" w:rsidP="005A76DF">
            <w:pPr>
              <w:jc w:val="center"/>
              <w:cnfStyle w:val="100000000000" w:firstRow="1" w:lastRow="0" w:firstColumn="0" w:lastColumn="0" w:oddVBand="0" w:evenVBand="0" w:oddHBand="0" w:evenHBand="0" w:firstRowFirstColumn="0" w:firstRowLastColumn="0" w:lastRowFirstColumn="0" w:lastRowLastColumn="0"/>
            </w:pPr>
            <w:r>
              <w:t>1981</w:t>
            </w:r>
          </w:p>
        </w:tc>
        <w:tc>
          <w:tcPr>
            <w:tcW w:w="888" w:type="dxa"/>
          </w:tcPr>
          <w:p w:rsidR="00057342" w:rsidRDefault="00057342" w:rsidP="005A76DF">
            <w:pPr>
              <w:jc w:val="center"/>
              <w:cnfStyle w:val="100000000000" w:firstRow="1" w:lastRow="0" w:firstColumn="0" w:lastColumn="0" w:oddVBand="0" w:evenVBand="0" w:oddHBand="0" w:evenHBand="0" w:firstRowFirstColumn="0" w:firstRowLastColumn="0" w:lastRowFirstColumn="0" w:lastRowLastColumn="0"/>
            </w:pPr>
            <w:r>
              <w:t>NEC</w:t>
            </w:r>
          </w:p>
          <w:p w:rsidR="00057342" w:rsidRDefault="00057342" w:rsidP="005A76DF">
            <w:pPr>
              <w:jc w:val="center"/>
              <w:cnfStyle w:val="100000000000" w:firstRow="1" w:lastRow="0" w:firstColumn="0" w:lastColumn="0" w:oddVBand="0" w:evenVBand="0" w:oddHBand="0" w:evenHBand="0" w:firstRowFirstColumn="0" w:firstRowLastColumn="0" w:lastRowFirstColumn="0" w:lastRowLastColumn="0"/>
            </w:pPr>
            <w:r>
              <w:t>2017</w:t>
            </w:r>
          </w:p>
        </w:tc>
        <w:tc>
          <w:tcPr>
            <w:tcW w:w="887" w:type="dxa"/>
          </w:tcPr>
          <w:p w:rsidR="00057342" w:rsidRDefault="00057342" w:rsidP="005A76DF">
            <w:pPr>
              <w:jc w:val="center"/>
              <w:cnfStyle w:val="100000000000" w:firstRow="1" w:lastRow="0" w:firstColumn="0" w:lastColumn="0" w:oddVBand="0" w:evenVBand="0" w:oddHBand="0" w:evenHBand="0" w:firstRowFirstColumn="0" w:firstRowLastColumn="0" w:lastRowFirstColumn="0" w:lastRowLastColumn="0"/>
            </w:pPr>
            <w:r>
              <w:t>90.1-</w:t>
            </w:r>
          </w:p>
          <w:p w:rsidR="00057342" w:rsidRDefault="00057342" w:rsidP="005A76DF">
            <w:pPr>
              <w:jc w:val="center"/>
              <w:cnfStyle w:val="100000000000" w:firstRow="1" w:lastRow="0" w:firstColumn="0" w:lastColumn="0" w:oddVBand="0" w:evenVBand="0" w:oddHBand="0" w:evenHBand="0" w:firstRowFirstColumn="0" w:firstRowLastColumn="0" w:lastRowFirstColumn="0" w:lastRowLastColumn="0"/>
            </w:pPr>
            <w:r>
              <w:t>2004</w:t>
            </w:r>
          </w:p>
        </w:tc>
        <w:tc>
          <w:tcPr>
            <w:tcW w:w="888" w:type="dxa"/>
          </w:tcPr>
          <w:p w:rsidR="00057342" w:rsidRDefault="00057342" w:rsidP="005A76DF">
            <w:pPr>
              <w:jc w:val="center"/>
              <w:cnfStyle w:val="100000000000" w:firstRow="1" w:lastRow="0" w:firstColumn="0" w:lastColumn="0" w:oddVBand="0" w:evenVBand="0" w:oddHBand="0" w:evenHBand="0" w:firstRowFirstColumn="0" w:firstRowLastColumn="0" w:lastRowFirstColumn="0" w:lastRowLastColumn="0"/>
            </w:pPr>
            <w:r>
              <w:t>90.1-</w:t>
            </w:r>
          </w:p>
          <w:p w:rsidR="00057342" w:rsidRDefault="00057342" w:rsidP="005A76DF">
            <w:pPr>
              <w:jc w:val="center"/>
              <w:cnfStyle w:val="100000000000" w:firstRow="1" w:lastRow="0" w:firstColumn="0" w:lastColumn="0" w:oddVBand="0" w:evenVBand="0" w:oddHBand="0" w:evenHBand="0" w:firstRowFirstColumn="0" w:firstRowLastColumn="0" w:lastRowFirstColumn="0" w:lastRowLastColumn="0"/>
            </w:pPr>
            <w:r>
              <w:t>2013</w:t>
            </w:r>
          </w:p>
        </w:tc>
      </w:tr>
      <w:tr w:rsidR="00057342" w:rsidTr="005A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Armories and auditoriums</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1</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1</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r>
      <w:tr w:rsidR="00057342" w:rsidTr="005A76DF">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Banks</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2</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5</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rPr>
                <w:rFonts w:cstheme="minorHAnsi"/>
              </w:rPr>
              <w:t>3</w:t>
            </w:r>
            <w:r>
              <w:rPr>
                <w:rFonts w:ascii="Cambria Math" w:hAnsi="Cambria Math"/>
              </w:rPr>
              <w:t>½</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rPr>
                <w:rFonts w:cstheme="minorHAnsi"/>
              </w:rPr>
              <w:t>3</w:t>
            </w:r>
            <w:r>
              <w:rPr>
                <w:rFonts w:ascii="Cambria Math" w:hAnsi="Cambria Math"/>
              </w:rPr>
              <w:t>½</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57342" w:rsidTr="005A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Barber shops &amp; beauty parlors</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3</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3</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r>
      <w:tr w:rsidR="00057342" w:rsidTr="005A76DF">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Churches</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1</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1</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1.3</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1</w:t>
            </w:r>
          </w:p>
        </w:tc>
      </w:tr>
      <w:tr w:rsidR="00057342" w:rsidTr="005A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Clubs</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2</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2</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r>
      <w:tr w:rsidR="00057342" w:rsidTr="005A76DF">
        <w:tc>
          <w:tcPr>
            <w:cnfStyle w:val="001000000000" w:firstRow="0" w:lastRow="0" w:firstColumn="1" w:lastColumn="0" w:oddVBand="0" w:evenVBand="0" w:oddHBand="0" w:evenHBand="0" w:firstRowFirstColumn="0" w:firstRowLastColumn="0" w:lastRowFirstColumn="0" w:lastRowLastColumn="0"/>
            <w:tcW w:w="4025" w:type="dxa"/>
          </w:tcPr>
          <w:p w:rsidR="00057342" w:rsidRPr="008C7EFB" w:rsidRDefault="00057342" w:rsidP="005A76DF">
            <w:pPr>
              <w:jc w:val="left"/>
            </w:pPr>
            <w:r>
              <w:t>Court rooms</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2</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2</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1.2</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1.01</w:t>
            </w:r>
          </w:p>
        </w:tc>
      </w:tr>
      <w:tr w:rsidR="00057342" w:rsidTr="005A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Dwelling Units</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3</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3</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r>
      <w:tr w:rsidR="00057342" w:rsidTr="005A76DF">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Garages – commercial (storage)</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rPr>
                <w:rFonts w:ascii="Cambria Math" w:hAnsi="Cambria Math"/>
              </w:rPr>
              <w:t>½</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rPr>
                <w:rFonts w:ascii="Cambria Math" w:hAnsi="Cambria Math"/>
              </w:rPr>
              <w:t>½</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rPr>
                <w:rFonts w:ascii="Cambria Math" w:hAnsi="Cambria Math"/>
              </w:rPr>
            </w:pP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rPr>
                <w:rFonts w:ascii="Cambria Math" w:hAnsi="Cambria Math"/>
              </w:rPr>
            </w:pPr>
          </w:p>
        </w:tc>
      </w:tr>
      <w:tr w:rsidR="00057342" w:rsidTr="005A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Hospitals</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2</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2</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1.2</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0.94</w:t>
            </w:r>
          </w:p>
        </w:tc>
      </w:tr>
      <w:tr w:rsidR="00057342" w:rsidTr="005A76DF">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Hotels, motels &amp; apts. (no cooking)</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2</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2</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1</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0.87</w:t>
            </w:r>
          </w:p>
        </w:tc>
      </w:tr>
      <w:tr w:rsidR="00057342" w:rsidTr="005A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Industrial commercial (loft) bldgs.</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2</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2</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r>
      <w:tr w:rsidR="00057342" w:rsidTr="005A76DF">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Lodge rooms</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1</w:t>
            </w:r>
            <w:r>
              <w:rPr>
                <w:rFonts w:ascii="Cambria Math" w:hAnsi="Cambria Math"/>
              </w:rPr>
              <w:t>½</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1</w:t>
            </w:r>
            <w:r>
              <w:rPr>
                <w:rFonts w:ascii="Cambria Math" w:hAnsi="Cambria Math"/>
              </w:rPr>
              <w:t>½</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r>
      <w:tr w:rsidR="00057342" w:rsidTr="005A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Office buildings</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5</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rPr>
                <w:rFonts w:cstheme="minorHAnsi"/>
              </w:rPr>
              <w:t>3</w:t>
            </w:r>
            <w:r>
              <w:rPr>
                <w:rFonts w:ascii="Cambria Math" w:hAnsi="Cambria Math"/>
              </w:rPr>
              <w:t>½</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rPr>
                <w:rFonts w:cstheme="minorHAnsi"/>
              </w:rPr>
              <w:t>3</w:t>
            </w:r>
            <w:r>
              <w:rPr>
                <w:rFonts w:ascii="Cambria Math" w:hAnsi="Cambria Math"/>
              </w:rPr>
              <w:t>½</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0.82</w:t>
            </w:r>
          </w:p>
        </w:tc>
      </w:tr>
      <w:tr w:rsidR="00057342" w:rsidTr="005A76DF">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Restaurants</w:t>
            </w:r>
          </w:p>
        </w:tc>
        <w:tc>
          <w:tcPr>
            <w:tcW w:w="887" w:type="dxa"/>
          </w:tcPr>
          <w:p w:rsidR="00057342" w:rsidRPr="008C7EFB" w:rsidRDefault="00057342" w:rsidP="005A76DF">
            <w:pPr>
              <w:jc w:val="center"/>
              <w:cnfStyle w:val="000000000000" w:firstRow="0" w:lastRow="0" w:firstColumn="0" w:lastColumn="0" w:oddVBand="0" w:evenVBand="0" w:oddHBand="0" w:evenHBand="0" w:firstRowFirstColumn="0" w:firstRowLastColumn="0" w:lastRowFirstColumn="0" w:lastRowLastColumn="0"/>
            </w:pPr>
            <w:r>
              <w:t>2</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8" w:type="dxa"/>
          </w:tcPr>
          <w:p w:rsidR="00057342" w:rsidRPr="008C7EFB" w:rsidRDefault="00057342" w:rsidP="005A76DF">
            <w:pPr>
              <w:jc w:val="center"/>
              <w:cnfStyle w:val="000000000000" w:firstRow="0" w:lastRow="0" w:firstColumn="0" w:lastColumn="0" w:oddVBand="0" w:evenVBand="0" w:oddHBand="0" w:evenHBand="0" w:firstRowFirstColumn="0" w:firstRowLastColumn="0" w:lastRowFirstColumn="0" w:lastRowLastColumn="0"/>
            </w:pPr>
            <w:r>
              <w:t>2</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1.4</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0.9</w:t>
            </w:r>
          </w:p>
        </w:tc>
      </w:tr>
      <w:tr w:rsidR="00057342" w:rsidTr="005A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Schools</w:t>
            </w:r>
          </w:p>
        </w:tc>
        <w:tc>
          <w:tcPr>
            <w:tcW w:w="887" w:type="dxa"/>
          </w:tcPr>
          <w:p w:rsidR="00057342" w:rsidRPr="008C7EFB" w:rsidRDefault="00057342" w:rsidP="005A76DF">
            <w:pPr>
              <w:jc w:val="center"/>
              <w:cnfStyle w:val="000000100000" w:firstRow="0" w:lastRow="0" w:firstColumn="0" w:lastColumn="0" w:oddVBand="0" w:evenVBand="0" w:oddHBand="1" w:evenHBand="0" w:firstRowFirstColumn="0" w:firstRowLastColumn="0" w:lastRowFirstColumn="0" w:lastRowLastColumn="0"/>
            </w:pPr>
            <w:r>
              <w:t>3</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Pr="008C7EFB" w:rsidRDefault="00057342" w:rsidP="005A76DF">
            <w:pPr>
              <w:jc w:val="center"/>
              <w:cnfStyle w:val="000000100000" w:firstRow="0" w:lastRow="0" w:firstColumn="0" w:lastColumn="0" w:oddVBand="0" w:evenVBand="0" w:oddHBand="1" w:evenHBand="0" w:firstRowFirstColumn="0" w:firstRowLastColumn="0" w:lastRowFirstColumn="0" w:lastRowLastColumn="0"/>
            </w:pPr>
            <w:r>
              <w:t>3</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1.2</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r>
              <w:t>0.87</w:t>
            </w:r>
          </w:p>
        </w:tc>
      </w:tr>
      <w:tr w:rsidR="00057342" w:rsidTr="005A76DF">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Stores</w:t>
            </w:r>
          </w:p>
        </w:tc>
        <w:tc>
          <w:tcPr>
            <w:tcW w:w="887" w:type="dxa"/>
          </w:tcPr>
          <w:p w:rsidR="00057342" w:rsidRPr="008C7EFB" w:rsidRDefault="00057342" w:rsidP="005A76DF">
            <w:pPr>
              <w:jc w:val="center"/>
              <w:cnfStyle w:val="000000000000" w:firstRow="0" w:lastRow="0" w:firstColumn="0" w:lastColumn="0" w:oddVBand="0" w:evenVBand="0" w:oddHBand="0" w:evenHBand="0" w:firstRowFirstColumn="0" w:firstRowLastColumn="0" w:lastRowFirstColumn="0" w:lastRowLastColumn="0"/>
            </w:pPr>
            <w:r>
              <w:t>3</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8" w:type="dxa"/>
          </w:tcPr>
          <w:p w:rsidR="00057342" w:rsidRPr="008C7EFB" w:rsidRDefault="00057342" w:rsidP="005A76DF">
            <w:pPr>
              <w:jc w:val="center"/>
              <w:cnfStyle w:val="000000000000" w:firstRow="0" w:lastRow="0" w:firstColumn="0" w:lastColumn="0" w:oddVBand="0" w:evenVBand="0" w:oddHBand="0" w:evenHBand="0" w:firstRowFirstColumn="0" w:firstRowLastColumn="0" w:lastRowFirstColumn="0" w:lastRowLastColumn="0"/>
            </w:pPr>
            <w:r>
              <w:t>3</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1.5</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r>
              <w:t>1.26</w:t>
            </w:r>
          </w:p>
        </w:tc>
      </w:tr>
      <w:tr w:rsidR="00057342" w:rsidTr="005A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Warehouses (storage)</w:t>
            </w:r>
          </w:p>
        </w:tc>
        <w:tc>
          <w:tcPr>
            <w:tcW w:w="887" w:type="dxa"/>
          </w:tcPr>
          <w:p w:rsidR="00057342" w:rsidRPr="008C7EFB" w:rsidRDefault="00057342" w:rsidP="005A76DF">
            <w:pPr>
              <w:jc w:val="center"/>
              <w:cnfStyle w:val="000000100000" w:firstRow="0" w:lastRow="0" w:firstColumn="0" w:lastColumn="0" w:oddVBand="0" w:evenVBand="0" w:oddHBand="1" w:evenHBand="0" w:firstRowFirstColumn="0" w:firstRowLastColumn="0" w:lastRowFirstColumn="0" w:lastRowLastColumn="0"/>
            </w:pPr>
            <w:r>
              <w:rPr>
                <w:rFonts w:ascii="Cambria Math" w:hAnsi="Cambria Math"/>
              </w:rPr>
              <w:t>¼</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Pr="008C7EFB" w:rsidRDefault="00057342" w:rsidP="005A76DF">
            <w:pPr>
              <w:jc w:val="center"/>
              <w:cnfStyle w:val="000000100000" w:firstRow="0" w:lastRow="0" w:firstColumn="0" w:lastColumn="0" w:oddVBand="0" w:evenVBand="0" w:oddHBand="1" w:evenHBand="0" w:firstRowFirstColumn="0" w:firstRowLastColumn="0" w:lastRowFirstColumn="0" w:lastRowLastColumn="0"/>
            </w:pPr>
            <w:r>
              <w:rPr>
                <w:rFonts w:ascii="Cambria Math" w:hAnsi="Cambria Math"/>
              </w:rPr>
              <w:t>¼</w:t>
            </w:r>
          </w:p>
        </w:tc>
        <w:tc>
          <w:tcPr>
            <w:tcW w:w="887" w:type="dxa"/>
          </w:tcPr>
          <w:p w:rsidR="00057342" w:rsidRPr="00653F02" w:rsidRDefault="00057342" w:rsidP="005A76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0.8</w:t>
            </w:r>
          </w:p>
        </w:tc>
        <w:tc>
          <w:tcPr>
            <w:tcW w:w="888" w:type="dxa"/>
          </w:tcPr>
          <w:p w:rsidR="00057342" w:rsidRPr="00653F02" w:rsidRDefault="00057342" w:rsidP="005A76D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3F02">
              <w:rPr>
                <w:rFonts w:cstheme="minorHAnsi"/>
              </w:rPr>
              <w:t>0.66</w:t>
            </w:r>
          </w:p>
        </w:tc>
      </w:tr>
      <w:tr w:rsidR="00057342" w:rsidTr="005A76DF">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Assembly halls, &amp; auditoriums*</w:t>
            </w:r>
          </w:p>
        </w:tc>
        <w:tc>
          <w:tcPr>
            <w:tcW w:w="887" w:type="dxa"/>
          </w:tcPr>
          <w:p w:rsidR="00057342" w:rsidRPr="008C7EFB" w:rsidRDefault="00057342" w:rsidP="005A76DF">
            <w:pPr>
              <w:jc w:val="center"/>
              <w:cnfStyle w:val="000000000000" w:firstRow="0" w:lastRow="0" w:firstColumn="0" w:lastColumn="0" w:oddVBand="0" w:evenVBand="0" w:oddHBand="0" w:evenHBand="0" w:firstRowFirstColumn="0" w:firstRowLastColumn="0" w:lastRowFirstColumn="0" w:lastRowLastColumn="0"/>
            </w:pPr>
            <w:r>
              <w:t>1</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8" w:type="dxa"/>
          </w:tcPr>
          <w:p w:rsidR="00057342" w:rsidRPr="008C7EFB" w:rsidRDefault="00057342" w:rsidP="005A76DF">
            <w:pPr>
              <w:jc w:val="center"/>
              <w:cnfStyle w:val="000000000000" w:firstRow="0" w:lastRow="0" w:firstColumn="0" w:lastColumn="0" w:oddVBand="0" w:evenVBand="0" w:oddHBand="0" w:evenHBand="0" w:firstRowFirstColumn="0" w:firstRowLastColumn="0" w:lastRowFirstColumn="0" w:lastRowLastColumn="0"/>
            </w:pPr>
            <w:r>
              <w:t>1</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r>
      <w:tr w:rsidR="00057342" w:rsidTr="005A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Halls, corridors, closets, &amp; stairways*</w:t>
            </w:r>
          </w:p>
        </w:tc>
        <w:tc>
          <w:tcPr>
            <w:tcW w:w="887" w:type="dxa"/>
          </w:tcPr>
          <w:p w:rsidR="00057342" w:rsidRPr="008C7EFB" w:rsidRDefault="00057342" w:rsidP="005A76DF">
            <w:pPr>
              <w:jc w:val="center"/>
              <w:cnfStyle w:val="000000100000" w:firstRow="0" w:lastRow="0" w:firstColumn="0" w:lastColumn="0" w:oddVBand="0" w:evenVBand="0" w:oddHBand="1" w:evenHBand="0" w:firstRowFirstColumn="0" w:firstRowLastColumn="0" w:lastRowFirstColumn="0" w:lastRowLastColumn="0"/>
            </w:pPr>
            <w:r>
              <w:rPr>
                <w:rFonts w:ascii="Cambria Math" w:hAnsi="Cambria Math"/>
              </w:rPr>
              <w:t>½</w:t>
            </w: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pPr>
          </w:p>
        </w:tc>
        <w:tc>
          <w:tcPr>
            <w:tcW w:w="888" w:type="dxa"/>
          </w:tcPr>
          <w:p w:rsidR="00057342" w:rsidRPr="008C7EFB" w:rsidRDefault="00057342" w:rsidP="005A76DF">
            <w:pPr>
              <w:jc w:val="center"/>
              <w:cnfStyle w:val="000000100000" w:firstRow="0" w:lastRow="0" w:firstColumn="0" w:lastColumn="0" w:oddVBand="0" w:evenVBand="0" w:oddHBand="1" w:evenHBand="0" w:firstRowFirstColumn="0" w:firstRowLastColumn="0" w:lastRowFirstColumn="0" w:lastRowLastColumn="0"/>
            </w:pPr>
            <w:r>
              <w:rPr>
                <w:rFonts w:ascii="Cambria Math" w:hAnsi="Cambria Math"/>
              </w:rPr>
              <w:t>½</w:t>
            </w:r>
          </w:p>
        </w:tc>
        <w:tc>
          <w:tcPr>
            <w:tcW w:w="887"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rPr>
                <w:rFonts w:ascii="Cambria Math" w:hAnsi="Cambria Math"/>
              </w:rPr>
            </w:pPr>
          </w:p>
        </w:tc>
        <w:tc>
          <w:tcPr>
            <w:tcW w:w="888" w:type="dxa"/>
          </w:tcPr>
          <w:p w:rsidR="00057342" w:rsidRDefault="00057342" w:rsidP="005A76DF">
            <w:pPr>
              <w:jc w:val="center"/>
              <w:cnfStyle w:val="000000100000" w:firstRow="0" w:lastRow="0" w:firstColumn="0" w:lastColumn="0" w:oddVBand="0" w:evenVBand="0" w:oddHBand="1" w:evenHBand="0" w:firstRowFirstColumn="0" w:firstRowLastColumn="0" w:lastRowFirstColumn="0" w:lastRowLastColumn="0"/>
              <w:rPr>
                <w:rFonts w:ascii="Cambria Math" w:hAnsi="Cambria Math"/>
              </w:rPr>
            </w:pPr>
          </w:p>
        </w:tc>
      </w:tr>
      <w:tr w:rsidR="00057342" w:rsidTr="005A76DF">
        <w:tc>
          <w:tcPr>
            <w:cnfStyle w:val="001000000000" w:firstRow="0" w:lastRow="0" w:firstColumn="1" w:lastColumn="0" w:oddVBand="0" w:evenVBand="0" w:oddHBand="0" w:evenHBand="0" w:firstRowFirstColumn="0" w:firstRowLastColumn="0" w:lastRowFirstColumn="0" w:lastRowLastColumn="0"/>
            <w:tcW w:w="4025" w:type="dxa"/>
          </w:tcPr>
          <w:p w:rsidR="00057342" w:rsidRDefault="00057342" w:rsidP="005A76DF">
            <w:pPr>
              <w:jc w:val="left"/>
            </w:pPr>
            <w:r>
              <w:t>Storage spaces*</w:t>
            </w:r>
          </w:p>
        </w:tc>
        <w:tc>
          <w:tcPr>
            <w:tcW w:w="887" w:type="dxa"/>
          </w:tcPr>
          <w:p w:rsidR="00057342" w:rsidRPr="008C7EFB" w:rsidRDefault="00057342" w:rsidP="005A76DF">
            <w:pPr>
              <w:jc w:val="center"/>
              <w:cnfStyle w:val="000000000000" w:firstRow="0" w:lastRow="0" w:firstColumn="0" w:lastColumn="0" w:oddVBand="0" w:evenVBand="0" w:oddHBand="0" w:evenHBand="0" w:firstRowFirstColumn="0" w:firstRowLastColumn="0" w:lastRowFirstColumn="0" w:lastRowLastColumn="0"/>
            </w:pPr>
            <w:r>
              <w:rPr>
                <w:rFonts w:ascii="Cambria Math" w:hAnsi="Cambria Math"/>
              </w:rPr>
              <w:t>¼</w:t>
            </w: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pPr>
          </w:p>
        </w:tc>
        <w:tc>
          <w:tcPr>
            <w:tcW w:w="888" w:type="dxa"/>
          </w:tcPr>
          <w:p w:rsidR="00057342" w:rsidRPr="008C7EFB" w:rsidRDefault="00057342" w:rsidP="005A76DF">
            <w:pPr>
              <w:jc w:val="center"/>
              <w:cnfStyle w:val="000000000000" w:firstRow="0" w:lastRow="0" w:firstColumn="0" w:lastColumn="0" w:oddVBand="0" w:evenVBand="0" w:oddHBand="0" w:evenHBand="0" w:firstRowFirstColumn="0" w:firstRowLastColumn="0" w:lastRowFirstColumn="0" w:lastRowLastColumn="0"/>
            </w:pPr>
            <w:r>
              <w:rPr>
                <w:rFonts w:ascii="Cambria Math" w:hAnsi="Cambria Math"/>
              </w:rPr>
              <w:t>¼</w:t>
            </w:r>
          </w:p>
        </w:tc>
        <w:tc>
          <w:tcPr>
            <w:tcW w:w="887"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rPr>
                <w:rFonts w:ascii="Cambria Math" w:hAnsi="Cambria Math"/>
              </w:rPr>
            </w:pPr>
          </w:p>
        </w:tc>
        <w:tc>
          <w:tcPr>
            <w:tcW w:w="888" w:type="dxa"/>
          </w:tcPr>
          <w:p w:rsidR="00057342" w:rsidRDefault="00057342" w:rsidP="005A76DF">
            <w:pPr>
              <w:jc w:val="center"/>
              <w:cnfStyle w:val="000000000000" w:firstRow="0" w:lastRow="0" w:firstColumn="0" w:lastColumn="0" w:oddVBand="0" w:evenVBand="0" w:oddHBand="0" w:evenHBand="0" w:firstRowFirstColumn="0" w:firstRowLastColumn="0" w:lastRowFirstColumn="0" w:lastRowLastColumn="0"/>
              <w:rPr>
                <w:rFonts w:ascii="Cambria Math" w:hAnsi="Cambria Math"/>
              </w:rPr>
            </w:pPr>
          </w:p>
        </w:tc>
      </w:tr>
      <w:tr w:rsidR="00057342" w:rsidTr="005A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7"/>
          </w:tcPr>
          <w:p w:rsidR="00057342" w:rsidRDefault="00057342" w:rsidP="005A76DF">
            <w:pPr>
              <w:spacing w:after="20"/>
              <w:rPr>
                <w:rFonts w:ascii="Cambria Math" w:hAnsi="Cambria Math"/>
              </w:rPr>
            </w:pPr>
            <w:r w:rsidRPr="00393617">
              <w:rPr>
                <w:rFonts w:cstheme="minorHAnsi"/>
              </w:rPr>
              <w:t>*Except in individual dwelling units</w:t>
            </w:r>
          </w:p>
        </w:tc>
      </w:tr>
    </w:tbl>
    <w:p w:rsidR="00057342" w:rsidRDefault="00057342" w:rsidP="00106004"/>
    <w:p w:rsidR="005C4A0D" w:rsidRDefault="00AA0058" w:rsidP="00106004">
      <w:r>
        <w:t>In recent National Electrical Code editions, exceptions to these requirements are permitted if the building complies with local energy codes and a monitoring system is installed (2014 NEC)</w:t>
      </w:r>
      <w:r w:rsidR="00FE529F">
        <w:t xml:space="preserve">. In the 2017 NEC, the lighting load specified </w:t>
      </w:r>
      <w:r w:rsidR="00926B1B">
        <w:t>by</w:t>
      </w:r>
      <w:r w:rsidR="00FE529F">
        <w:t xml:space="preserve"> Table 220.12 for office and bank</w:t>
      </w:r>
      <w:r w:rsidR="00926B1B">
        <w:t xml:space="preserve"> area</w:t>
      </w:r>
      <w:r w:rsidR="00FE529F">
        <w:t xml:space="preserve"> </w:t>
      </w:r>
      <w:r w:rsidR="00926B1B">
        <w:t xml:space="preserve">may be </w:t>
      </w:r>
      <w:r w:rsidR="00926B1B" w:rsidRPr="00464F56">
        <w:rPr>
          <w:i/>
        </w:rPr>
        <w:t>reduced by</w:t>
      </w:r>
      <w:r w:rsidR="00926B1B">
        <w:t xml:space="preserve"> 1 W/ft</w:t>
      </w:r>
      <w:r w:rsidR="00926B1B" w:rsidRPr="00926B1B">
        <w:rPr>
          <w:vertAlign w:val="superscript"/>
        </w:rPr>
        <w:t>2</w:t>
      </w:r>
      <w:r w:rsidR="00926B1B">
        <w:t xml:space="preserve"> </w:t>
      </w:r>
      <w:r w:rsidR="00464F56">
        <w:t>when the local authority has adopted any energy code specifying an overall lighting density less than 1.2 W/ft</w:t>
      </w:r>
      <w:r w:rsidR="00464F56" w:rsidRPr="00464F56">
        <w:rPr>
          <w:vertAlign w:val="superscript"/>
        </w:rPr>
        <w:t>2</w:t>
      </w:r>
      <w:r w:rsidR="00FE529F">
        <w:t>.</w:t>
      </w:r>
      <w:r w:rsidR="0085792F">
        <w:t xml:space="preserve"> At least 4</w:t>
      </w:r>
      <w:r w:rsidR="00487C10">
        <w:t>5</w:t>
      </w:r>
      <w:r w:rsidR="0085792F">
        <w:t xml:space="preserve"> states have energy conservation codes in effect</w:t>
      </w:r>
      <w:r w:rsidR="00487C10">
        <w:t xml:space="preserve">. California and part of Hawaii have locally adopted codes; other states except Vermont have adopted ASHRAE 90.1-2004 or a later edition. </w:t>
      </w:r>
      <w:r w:rsidR="00792E92">
        <w:t>In many states local energy codes</w:t>
      </w:r>
      <w:r w:rsidR="00057342">
        <w:t xml:space="preserve"> are not enforced</w:t>
      </w:r>
      <w:r w:rsidR="00792E92">
        <w:t>; however, e</w:t>
      </w:r>
      <w:r w:rsidR="0085792F">
        <w:t>ven before</w:t>
      </w:r>
      <w:r w:rsidR="00057342">
        <w:t xml:space="preserve"> state adoption of</w:t>
      </w:r>
      <w:r w:rsidR="0085792F">
        <w:t xml:space="preserve"> </w:t>
      </w:r>
      <w:r w:rsidR="00792E92">
        <w:t xml:space="preserve">NEC’s </w:t>
      </w:r>
      <w:r w:rsidR="00057342">
        <w:t>2014</w:t>
      </w:r>
      <w:r w:rsidR="00792E92">
        <w:t xml:space="preserve"> edition</w:t>
      </w:r>
      <w:r w:rsidR="0085792F">
        <w:t>, engineers in various areas</w:t>
      </w:r>
      <w:r w:rsidR="00792E92">
        <w:t xml:space="preserve"> nationwide</w:t>
      </w:r>
      <w:r w:rsidR="0085792F">
        <w:t xml:space="preserve"> have to </w:t>
      </w:r>
      <w:r w:rsidR="00792E92">
        <w:t>based</w:t>
      </w:r>
      <w:r w:rsidR="00057342">
        <w:t xml:space="preserve"> </w:t>
      </w:r>
      <w:r w:rsidR="0085792F">
        <w:t>lighting power density requirements on local energy conservation codes.</w:t>
      </w:r>
      <w:r w:rsidR="004E69B9">
        <w:t xml:space="preserve"> </w:t>
      </w:r>
      <w:r w:rsidR="00057342">
        <w:t xml:space="preserve"> </w:t>
      </w:r>
    </w:p>
    <w:p w:rsidR="0085792F" w:rsidRDefault="0085792F" w:rsidP="00AB307A">
      <w:r>
        <w:lastRenderedPageBreak/>
        <w:t xml:space="preserve">The National Electrical Code </w:t>
      </w:r>
      <w:r w:rsidR="00792E92">
        <w:t>may be considered</w:t>
      </w:r>
      <w:r>
        <w:t xml:space="preserve"> the Gold Standard for the design and installation of electrical equipment. For the NEC to remain the </w:t>
      </w:r>
      <w:r w:rsidR="008170A1">
        <w:t>unrefuted standard nationwide, the requirements of the NEC must be well-founded and up-to-date with today’s technology and building design. At one time, the NEC</w:t>
      </w:r>
      <w:r w:rsidR="00AB307A">
        <w:t xml:space="preserve"> focused exclusively on the design and installation of electrical equipment. Today it also encompasses safety issues addressed by NFPA 70E, </w:t>
      </w:r>
      <w:r w:rsidR="00AB307A" w:rsidRPr="004E69B9">
        <w:rPr>
          <w:i/>
        </w:rPr>
        <w:t>Standard for Electrical Safety in the Workplace</w:t>
      </w:r>
      <w:r w:rsidR="004E69B9">
        <w:t>; these issues</w:t>
      </w:r>
      <w:r w:rsidR="00AB307A" w:rsidRPr="004E69B9">
        <w:t xml:space="preserve"> </w:t>
      </w:r>
      <w:r w:rsidR="00AB307A">
        <w:t>includ</w:t>
      </w:r>
      <w:r w:rsidR="004E69B9">
        <w:t>e</w:t>
      </w:r>
      <w:r w:rsidR="00AB307A">
        <w:t xml:space="preserve"> electric shock, arc flash hazards, and other forms of electrical injury.</w:t>
      </w:r>
      <w:r w:rsidR="008170A1">
        <w:t xml:space="preserve"> Recent </w:t>
      </w:r>
      <w:r w:rsidR="00792E92">
        <w:t xml:space="preserve">NEC </w:t>
      </w:r>
      <w:r w:rsidR="004E69B9">
        <w:t xml:space="preserve">2017 </w:t>
      </w:r>
      <w:r w:rsidR="008170A1">
        <w:t xml:space="preserve">exceptions </w:t>
      </w:r>
      <w:r w:rsidR="00792E92">
        <w:t xml:space="preserve">in Section </w:t>
      </w:r>
      <w:r w:rsidR="008170A1">
        <w:t>220.1</w:t>
      </w:r>
      <w:r w:rsidR="00792E92">
        <w:t>2</w:t>
      </w:r>
      <w:r w:rsidR="008170A1">
        <w:t xml:space="preserve"> demonstrate that the NEC is also becoming responsive to growing national concern for energy conservation. </w:t>
      </w:r>
      <w:r w:rsidR="00AB307A">
        <w:t xml:space="preserve"> </w:t>
      </w:r>
    </w:p>
    <w:p w:rsidR="0085792F" w:rsidRDefault="00743B4F" w:rsidP="00AB307A">
      <w:r>
        <w:t>The U.S. Department of Energy ha</w:t>
      </w:r>
      <w:r w:rsidR="004E69B9">
        <w:t>s</w:t>
      </w:r>
      <w:r>
        <w:t xml:space="preserve"> mandated greater efficiency requirements for transformers effective January 2016. For several years, government entities and electric utility providers have publicized the energy saving benefits of replacing older electrical equipment</w:t>
      </w:r>
      <w:r w:rsidR="00792E92">
        <w:t>, including transformers</w:t>
      </w:r>
      <w:r>
        <w:t xml:space="preserve"> and lighting fixtures</w:t>
      </w:r>
      <w:r w:rsidR="00792E92">
        <w:t>,</w:t>
      </w:r>
      <w:r>
        <w:t xml:space="preserve"> with new more energy efficient equipment</w:t>
      </w:r>
      <w:r w:rsidR="00792E92">
        <w:t>.</w:t>
      </w:r>
      <w:r>
        <w:t xml:space="preserve"> </w:t>
      </w:r>
      <w:r w:rsidR="00792E92">
        <w:t>F</w:t>
      </w:r>
      <w:r>
        <w:t>inanc</w:t>
      </w:r>
      <w:r w:rsidR="00A81869">
        <w:t xml:space="preserve">ial incentives are often given. </w:t>
      </w:r>
      <w:r>
        <w:t xml:space="preserve"> </w:t>
      </w:r>
    </w:p>
    <w:p w:rsidR="005A47BD" w:rsidRDefault="00DF71B5" w:rsidP="00AB307A">
      <w:r>
        <w:t xml:space="preserve">There has been recent utility interest in “right-sizing” transformers to reduce energy losses associated with older oversized transformers. A 1999 Cadmus study of </w:t>
      </w:r>
      <w:r w:rsidR="00043BE0">
        <w:t xml:space="preserve">in-house low-voltage dry-type </w:t>
      </w:r>
      <w:r>
        <w:t xml:space="preserve">transformers found </w:t>
      </w:r>
      <w:r w:rsidR="00792E92">
        <w:t xml:space="preserve">the average </w:t>
      </w:r>
      <w:proofErr w:type="spellStart"/>
      <w:r w:rsidR="005A47BD">
        <w:t>rms</w:t>
      </w:r>
      <w:proofErr w:type="spellEnd"/>
      <w:r w:rsidR="005A47BD">
        <w:t xml:space="preserve"> </w:t>
      </w:r>
      <w:r w:rsidR="00792E92">
        <w:t>loading of</w:t>
      </w:r>
      <w:r>
        <w:t xml:space="preserve"> t</w:t>
      </w:r>
      <w:r w:rsidR="00792E92">
        <w:t xml:space="preserve">ransformers </w:t>
      </w:r>
      <w:r w:rsidR="005A47BD">
        <w:t>at</w:t>
      </w:r>
      <w:r>
        <w:t xml:space="preserve"> </w:t>
      </w:r>
      <w:r w:rsidR="004E69B9">
        <w:t>1</w:t>
      </w:r>
      <w:r w:rsidR="00043BE0">
        <w:t>6</w:t>
      </w:r>
      <w:r w:rsidR="004E69B9">
        <w:t>%</w:t>
      </w:r>
      <w:r>
        <w:t xml:space="preserve"> </w:t>
      </w:r>
      <w:r w:rsidR="00043BE0">
        <w:t>of capacity</w:t>
      </w:r>
      <w:r>
        <w:t>. A 2013 report prepared</w:t>
      </w:r>
      <w:r w:rsidR="005A47BD">
        <w:t xml:space="preserve"> by Navigant</w:t>
      </w:r>
      <w:r>
        <w:t xml:space="preserve"> for the U.S. Energy Information Administration </w:t>
      </w:r>
      <w:r w:rsidR="005A47BD">
        <w:t xml:space="preserve">estimated 43 TW-hours of energy loss generated by </w:t>
      </w:r>
      <w:r>
        <w:t>in-house, low-voltage dry-type transformers in commercial buildings in 2011</w:t>
      </w:r>
      <w:r w:rsidR="005A47BD">
        <w:t xml:space="preserve">. The Navigant study determined the energy consumption of thirteen MELs (Miscellaneous Electric Loads), including low-voltage dry-type transformers; </w:t>
      </w:r>
      <w:r w:rsidR="00492F6F">
        <w:t>as a group, the transformers, consumed more energy than any other MEL</w:t>
      </w:r>
      <w:r w:rsidR="00273173">
        <w:t xml:space="preserve"> </w:t>
      </w:r>
      <w:r w:rsidR="00492F6F">
        <w:t>in the study.</w:t>
      </w:r>
    </w:p>
    <w:p w:rsidR="004E69B9" w:rsidRDefault="004E69B9" w:rsidP="004E69B9">
      <w:r>
        <w:t xml:space="preserve">Environmental science focuses on the importance of sustainability in new building construction. Sustainability </w:t>
      </w:r>
      <w:r w:rsidR="00273173">
        <w:t>is</w:t>
      </w:r>
      <w:r>
        <w:t xml:space="preserve"> becom</w:t>
      </w:r>
      <w:r w:rsidR="00273173">
        <w:t>ing</w:t>
      </w:r>
      <w:r>
        <w:t xml:space="preserve"> a more important issue in electrical system design in buildings. Specifying oversized electrical equipment might be viewed as wasteful of national and planetary resources. </w:t>
      </w:r>
      <w:r w:rsidR="00273173">
        <w:t>E</w:t>
      </w:r>
      <w:r>
        <w:t xml:space="preserve">xcess capacity </w:t>
      </w:r>
      <w:r w:rsidR="00273173">
        <w:t xml:space="preserve">may </w:t>
      </w:r>
      <w:r>
        <w:t>lead to higher available fault current which might increase electrical safety hazards, such as the potential energy assoc</w:t>
      </w:r>
      <w:r w:rsidR="00D13B5E">
        <w:t>iated with an arc flash event. “Rightsizing” equipment may also save in capit</w:t>
      </w:r>
      <w:r w:rsidR="003A0A33">
        <w:t>a</w:t>
      </w:r>
      <w:r w:rsidR="00D13B5E">
        <w:t>l investment.</w:t>
      </w:r>
    </w:p>
    <w:p w:rsidR="007A13B1" w:rsidRDefault="006B1CE3" w:rsidP="00AB307A">
      <w:r>
        <w:t xml:space="preserve">The intent of this research study is to </w:t>
      </w:r>
      <w:r w:rsidR="007A13B1">
        <w:t xml:space="preserve">evaluate </w:t>
      </w:r>
      <w:r w:rsidR="00273173">
        <w:t xml:space="preserve">electrical feeder and </w:t>
      </w:r>
      <w:r w:rsidR="007A13B1">
        <w:t>branch circuit loading in view of present NEC requirements, electrical safety, and energy conservation and sustainability issues.</w:t>
      </w:r>
    </w:p>
    <w:p w:rsidR="007A13B1" w:rsidRDefault="007A13B1" w:rsidP="00AB307A">
      <w:r>
        <w:t>The</w:t>
      </w:r>
      <w:r w:rsidR="00485D08">
        <w:t xml:space="preserve"> lighting and re</w:t>
      </w:r>
      <w:r w:rsidR="006B1CE3">
        <w:t xml:space="preserve">ceptacle load </w:t>
      </w:r>
      <w:r>
        <w:t xml:space="preserve">is of particular interest because of the long-standing </w:t>
      </w:r>
      <w:r w:rsidR="006B1CE3">
        <w:t xml:space="preserve">power densities </w:t>
      </w:r>
      <w:r>
        <w:t>established</w:t>
      </w:r>
      <w:r w:rsidR="006B1CE3">
        <w:t xml:space="preserve"> by the NEC. The lighting and receptacle load power densities in new building construction need to be measured to ensure that </w:t>
      </w:r>
      <w:r w:rsidR="00273173">
        <w:t xml:space="preserve">the </w:t>
      </w:r>
      <w:r w:rsidR="006B1CE3">
        <w:t>NEC requirements reflect today’s technology and usage in building space</w:t>
      </w:r>
      <w:r w:rsidR="00190A60">
        <w:t xml:space="preserve">s. </w:t>
      </w:r>
    </w:p>
    <w:p w:rsidR="006B1CE3" w:rsidRDefault="007A13B1" w:rsidP="00AB307A">
      <w:r>
        <w:t>Further</w:t>
      </w:r>
      <w:r w:rsidR="00190A60">
        <w:t xml:space="preserve">more, many commercial buildings are </w:t>
      </w:r>
      <w:r>
        <w:t>provided</w:t>
      </w:r>
      <w:r w:rsidR="00190A60">
        <w:t xml:space="preserve"> 480V </w:t>
      </w:r>
      <w:r>
        <w:t>which is stepped down to 208</w:t>
      </w:r>
      <w:r w:rsidR="00273173">
        <w:t>Y-120V</w:t>
      </w:r>
      <w:r>
        <w:t xml:space="preserve"> by </w:t>
      </w:r>
      <w:r w:rsidR="00190A60">
        <w:t>in-house transformers</w:t>
      </w:r>
      <w:r>
        <w:t>.</w:t>
      </w:r>
      <w:r w:rsidR="00190A60">
        <w:t xml:space="preserve"> </w:t>
      </w:r>
      <w:r>
        <w:t>T</w:t>
      </w:r>
      <w:r w:rsidR="00190A60">
        <w:t xml:space="preserve">he research project includes monitoring </w:t>
      </w:r>
      <w:r>
        <w:t>load levels</w:t>
      </w:r>
      <w:r w:rsidR="00190A60">
        <w:t xml:space="preserve"> on all transformers within the building and supplying the main service.</w:t>
      </w:r>
    </w:p>
    <w:p w:rsidR="007A13B1" w:rsidRDefault="007A13B1" w:rsidP="0073184C">
      <w:pPr>
        <w:rPr>
          <w:rFonts w:asciiTheme="majorHAnsi" w:hAnsiTheme="majorHAnsi" w:cstheme="majorHAnsi"/>
        </w:rPr>
      </w:pPr>
    </w:p>
    <w:p w:rsidR="00542D4F" w:rsidRPr="0077713E" w:rsidRDefault="00542D4F" w:rsidP="0073184C">
      <w:pPr>
        <w:rPr>
          <w:rFonts w:asciiTheme="majorHAnsi" w:hAnsiTheme="majorHAnsi" w:cstheme="majorHAnsi"/>
          <w:b/>
        </w:rPr>
      </w:pPr>
      <w:r w:rsidRPr="0077713E">
        <w:rPr>
          <w:rFonts w:asciiTheme="majorHAnsi" w:hAnsiTheme="majorHAnsi" w:cstheme="majorHAnsi"/>
          <w:b/>
        </w:rPr>
        <w:t>Relevance of Project Focus</w:t>
      </w:r>
    </w:p>
    <w:p w:rsidR="00921F11" w:rsidRDefault="00542D4F" w:rsidP="0073184C">
      <w:pPr>
        <w:rPr>
          <w:rFonts w:asciiTheme="majorHAnsi" w:hAnsiTheme="majorHAnsi" w:cstheme="majorHAnsi"/>
        </w:rPr>
      </w:pPr>
      <w:r>
        <w:rPr>
          <w:rFonts w:asciiTheme="majorHAnsi" w:hAnsiTheme="majorHAnsi" w:cstheme="majorHAnsi"/>
        </w:rPr>
        <w:t xml:space="preserve">In June 2016, electric utilities had close to 150 million customer accounts, including 18.3 million commercial accounts. </w:t>
      </w:r>
      <w:r w:rsidR="00921F11">
        <w:rPr>
          <w:rFonts w:asciiTheme="majorHAnsi" w:hAnsiTheme="majorHAnsi" w:cstheme="majorHAnsi"/>
        </w:rPr>
        <w:t>Assuming</w:t>
      </w:r>
      <w:r>
        <w:rPr>
          <w:rFonts w:asciiTheme="majorHAnsi" w:hAnsiTheme="majorHAnsi" w:cstheme="majorHAnsi"/>
        </w:rPr>
        <w:t xml:space="preserve"> each </w:t>
      </w:r>
      <w:r w:rsidR="00921F11">
        <w:rPr>
          <w:rFonts w:asciiTheme="majorHAnsi" w:hAnsiTheme="majorHAnsi" w:cstheme="majorHAnsi"/>
        </w:rPr>
        <w:t xml:space="preserve">customer has at least one electrical service feeder, the </w:t>
      </w:r>
      <w:r w:rsidR="00921F11">
        <w:rPr>
          <w:rFonts w:asciiTheme="majorHAnsi" w:hAnsiTheme="majorHAnsi" w:cstheme="majorHAnsi"/>
        </w:rPr>
        <w:lastRenderedPageBreak/>
        <w:t>number of service feeders must be close to 150 million and the numbers of distribution feeders and branch-circuits must exceed a billion. Feeders and branch circuit might be considered pipeline</w:t>
      </w:r>
      <w:r w:rsidR="00273173">
        <w:rPr>
          <w:rFonts w:asciiTheme="majorHAnsi" w:hAnsiTheme="majorHAnsi" w:cstheme="majorHAnsi"/>
        </w:rPr>
        <w:t>s</w:t>
      </w:r>
      <w:r w:rsidR="00921F11">
        <w:rPr>
          <w:rFonts w:asciiTheme="majorHAnsi" w:hAnsiTheme="majorHAnsi" w:cstheme="majorHAnsi"/>
        </w:rPr>
        <w:t xml:space="preserve"> for electricity. In 2015, residential, commercial, and industrial sectors purchased over 3.7 trillion kW-hours</w:t>
      </w:r>
      <w:r w:rsidR="00273173">
        <w:rPr>
          <w:rFonts w:asciiTheme="majorHAnsi" w:hAnsiTheme="majorHAnsi" w:cstheme="majorHAnsi"/>
        </w:rPr>
        <w:t xml:space="preserve"> of electricity</w:t>
      </w:r>
      <w:r w:rsidR="00921F11">
        <w:rPr>
          <w:rFonts w:asciiTheme="majorHAnsi" w:hAnsiTheme="majorHAnsi" w:cstheme="majorHAnsi"/>
        </w:rPr>
        <w:t xml:space="preserve">. </w:t>
      </w:r>
    </w:p>
    <w:p w:rsidR="00542D4F" w:rsidRDefault="00921F11" w:rsidP="0073184C">
      <w:pPr>
        <w:rPr>
          <w:rFonts w:asciiTheme="majorHAnsi" w:hAnsiTheme="majorHAnsi" w:cstheme="majorHAnsi"/>
        </w:rPr>
      </w:pPr>
      <w:r>
        <w:rPr>
          <w:rFonts w:asciiTheme="majorHAnsi" w:hAnsiTheme="majorHAnsi" w:cstheme="majorHAnsi"/>
        </w:rPr>
        <w:t xml:space="preserve">The U.S. Energy Information Administration </w:t>
      </w:r>
      <w:r w:rsidR="00273173">
        <w:rPr>
          <w:rFonts w:asciiTheme="majorHAnsi" w:hAnsiTheme="majorHAnsi" w:cstheme="majorHAnsi"/>
        </w:rPr>
        <w:t xml:space="preserve">(EIA) </w:t>
      </w:r>
      <w:r>
        <w:rPr>
          <w:rFonts w:asciiTheme="majorHAnsi" w:hAnsiTheme="majorHAnsi" w:cstheme="majorHAnsi"/>
        </w:rPr>
        <w:t>estimate</w:t>
      </w:r>
      <w:r w:rsidR="00273173">
        <w:rPr>
          <w:rFonts w:asciiTheme="majorHAnsi" w:hAnsiTheme="majorHAnsi" w:cstheme="majorHAnsi"/>
        </w:rPr>
        <w:t xml:space="preserve">d </w:t>
      </w:r>
      <w:r>
        <w:rPr>
          <w:rFonts w:asciiTheme="majorHAnsi" w:hAnsiTheme="majorHAnsi" w:cstheme="majorHAnsi"/>
        </w:rPr>
        <w:t>that</w:t>
      </w:r>
      <w:r w:rsidR="00273173">
        <w:rPr>
          <w:rFonts w:asciiTheme="majorHAnsi" w:hAnsiTheme="majorHAnsi" w:cstheme="majorHAnsi"/>
        </w:rPr>
        <w:t>,</w:t>
      </w:r>
      <w:r>
        <w:rPr>
          <w:rFonts w:asciiTheme="majorHAnsi" w:hAnsiTheme="majorHAnsi" w:cstheme="majorHAnsi"/>
        </w:rPr>
        <w:t xml:space="preserve"> in </w:t>
      </w:r>
      <w:r w:rsidR="00273173">
        <w:rPr>
          <w:rFonts w:asciiTheme="majorHAnsi" w:hAnsiTheme="majorHAnsi" w:cstheme="majorHAnsi"/>
        </w:rPr>
        <w:t xml:space="preserve">2012 in </w:t>
      </w:r>
      <w:r>
        <w:rPr>
          <w:rFonts w:asciiTheme="majorHAnsi" w:hAnsiTheme="majorHAnsi" w:cstheme="majorHAnsi"/>
        </w:rPr>
        <w:t>the United States</w:t>
      </w:r>
      <w:r w:rsidR="00273173">
        <w:rPr>
          <w:rFonts w:asciiTheme="majorHAnsi" w:hAnsiTheme="majorHAnsi" w:cstheme="majorHAnsi"/>
        </w:rPr>
        <w:t>,</w:t>
      </w:r>
      <w:r>
        <w:rPr>
          <w:rFonts w:asciiTheme="majorHAnsi" w:hAnsiTheme="majorHAnsi" w:cstheme="majorHAnsi"/>
        </w:rPr>
        <w:t xml:space="preserve"> there </w:t>
      </w:r>
      <w:r w:rsidR="00273173">
        <w:rPr>
          <w:rFonts w:asciiTheme="majorHAnsi" w:hAnsiTheme="majorHAnsi" w:cstheme="majorHAnsi"/>
        </w:rPr>
        <w:t>we</w:t>
      </w:r>
      <w:r>
        <w:rPr>
          <w:rFonts w:asciiTheme="majorHAnsi" w:hAnsiTheme="majorHAnsi" w:cstheme="majorHAnsi"/>
        </w:rPr>
        <w:t>re close to 5.6 million commercial buildings with a total floor space over 87 billion square feet.</w:t>
      </w:r>
      <w:r w:rsidR="009D5501">
        <w:rPr>
          <w:rFonts w:asciiTheme="majorHAnsi" w:hAnsiTheme="majorHAnsi" w:cstheme="majorHAnsi"/>
        </w:rPr>
        <w:t xml:space="preserve"> The </w:t>
      </w:r>
      <w:r w:rsidR="00273173">
        <w:rPr>
          <w:rFonts w:asciiTheme="majorHAnsi" w:hAnsiTheme="majorHAnsi" w:cstheme="majorHAnsi"/>
        </w:rPr>
        <w:t>EIA</w:t>
      </w:r>
      <w:r w:rsidR="009D5501">
        <w:rPr>
          <w:rFonts w:asciiTheme="majorHAnsi" w:hAnsiTheme="majorHAnsi" w:cstheme="majorHAnsi"/>
        </w:rPr>
        <w:t xml:space="preserve"> also estimated that lighting accounted for 17% of all electricity consumption; furthermore, other miscellaneous electric loads including computing and office equipment accounted for 32% of the total electricity consumption. </w:t>
      </w:r>
      <w:r w:rsidR="00AE3A80">
        <w:rPr>
          <w:rFonts w:asciiTheme="majorHAnsi" w:hAnsiTheme="majorHAnsi" w:cstheme="majorHAnsi"/>
        </w:rPr>
        <w:t>In the 2012 C</w:t>
      </w:r>
      <w:r w:rsidR="00273173">
        <w:rPr>
          <w:rFonts w:asciiTheme="majorHAnsi" w:hAnsiTheme="majorHAnsi" w:cstheme="majorHAnsi"/>
        </w:rPr>
        <w:t>ommercial Building Energy Consumption Survey (CBECS) funded by the EIA</w:t>
      </w:r>
      <w:r w:rsidR="00AE3A80">
        <w:rPr>
          <w:rFonts w:asciiTheme="majorHAnsi" w:hAnsiTheme="majorHAnsi" w:cstheme="majorHAnsi"/>
        </w:rPr>
        <w:t>, o</w:t>
      </w:r>
      <w:r>
        <w:rPr>
          <w:rFonts w:asciiTheme="majorHAnsi" w:hAnsiTheme="majorHAnsi" w:cstheme="majorHAnsi"/>
        </w:rPr>
        <w:t xml:space="preserve">ffice buildings </w:t>
      </w:r>
      <w:r w:rsidR="00AE3A80">
        <w:rPr>
          <w:rFonts w:asciiTheme="majorHAnsi" w:hAnsiTheme="majorHAnsi" w:cstheme="majorHAnsi"/>
        </w:rPr>
        <w:t xml:space="preserve">alone </w:t>
      </w:r>
      <w:r>
        <w:rPr>
          <w:rFonts w:asciiTheme="majorHAnsi" w:hAnsiTheme="majorHAnsi" w:cstheme="majorHAnsi"/>
        </w:rPr>
        <w:t>account</w:t>
      </w:r>
      <w:r w:rsidR="00AE3A80">
        <w:rPr>
          <w:rFonts w:asciiTheme="majorHAnsi" w:hAnsiTheme="majorHAnsi" w:cstheme="majorHAnsi"/>
        </w:rPr>
        <w:t>ed</w:t>
      </w:r>
      <w:r>
        <w:rPr>
          <w:rFonts w:asciiTheme="majorHAnsi" w:hAnsiTheme="majorHAnsi" w:cstheme="majorHAnsi"/>
        </w:rPr>
        <w:t xml:space="preserve"> for </w:t>
      </w:r>
      <w:r w:rsidR="00AE3A80">
        <w:rPr>
          <w:rFonts w:asciiTheme="majorHAnsi" w:hAnsiTheme="majorHAnsi" w:cstheme="majorHAnsi"/>
        </w:rPr>
        <w:t xml:space="preserve">19% of the total number of </w:t>
      </w:r>
      <w:r w:rsidR="00660AC3">
        <w:rPr>
          <w:rFonts w:asciiTheme="majorHAnsi" w:hAnsiTheme="majorHAnsi" w:cstheme="majorHAnsi"/>
        </w:rPr>
        <w:t xml:space="preserve">commercial </w:t>
      </w:r>
      <w:r w:rsidR="00AE3A80">
        <w:rPr>
          <w:rFonts w:asciiTheme="majorHAnsi" w:hAnsiTheme="majorHAnsi" w:cstheme="majorHAnsi"/>
        </w:rPr>
        <w:t xml:space="preserve">buildings, 19% of the total floor space, and 20% of electricity consumption. </w:t>
      </w:r>
    </w:p>
    <w:p w:rsidR="00542D4F" w:rsidRDefault="00AE3A80" w:rsidP="0073184C">
      <w:pPr>
        <w:rPr>
          <w:rFonts w:asciiTheme="majorHAnsi" w:hAnsiTheme="majorHAnsi" w:cstheme="majorHAnsi"/>
        </w:rPr>
      </w:pPr>
      <w:r>
        <w:rPr>
          <w:rFonts w:asciiTheme="majorHAnsi" w:hAnsiTheme="majorHAnsi" w:cstheme="majorHAnsi"/>
        </w:rPr>
        <w:t xml:space="preserve">A study on </w:t>
      </w:r>
      <w:r w:rsidR="00660AC3">
        <w:rPr>
          <w:rFonts w:asciiTheme="majorHAnsi" w:hAnsiTheme="majorHAnsi" w:cstheme="majorHAnsi"/>
        </w:rPr>
        <w:t>electrical feeder and branch circuit l</w:t>
      </w:r>
      <w:r>
        <w:rPr>
          <w:rFonts w:asciiTheme="majorHAnsi" w:hAnsiTheme="majorHAnsi" w:cstheme="majorHAnsi"/>
        </w:rPr>
        <w:t xml:space="preserve">oading </w:t>
      </w:r>
      <w:r w:rsidR="00660AC3">
        <w:rPr>
          <w:rFonts w:asciiTheme="majorHAnsi" w:hAnsiTheme="majorHAnsi" w:cstheme="majorHAnsi"/>
        </w:rPr>
        <w:t>in commercial buildings will provide substantive data, more valuable than estimation,</w:t>
      </w:r>
      <w:r>
        <w:rPr>
          <w:rFonts w:asciiTheme="majorHAnsi" w:hAnsiTheme="majorHAnsi" w:cstheme="majorHAnsi"/>
        </w:rPr>
        <w:t xml:space="preserve"> </w:t>
      </w:r>
      <w:r w:rsidR="00660AC3">
        <w:rPr>
          <w:rFonts w:asciiTheme="majorHAnsi" w:hAnsiTheme="majorHAnsi" w:cstheme="majorHAnsi"/>
        </w:rPr>
        <w:t>on</w:t>
      </w:r>
      <w:r>
        <w:rPr>
          <w:rFonts w:asciiTheme="majorHAnsi" w:hAnsiTheme="majorHAnsi" w:cstheme="majorHAnsi"/>
        </w:rPr>
        <w:t xml:space="preserve"> the </w:t>
      </w:r>
      <w:r w:rsidR="00660AC3">
        <w:rPr>
          <w:rFonts w:asciiTheme="majorHAnsi" w:hAnsiTheme="majorHAnsi" w:cstheme="majorHAnsi"/>
        </w:rPr>
        <w:t>major and minor end-use loads</w:t>
      </w:r>
      <w:r w:rsidR="00A579E0">
        <w:rPr>
          <w:rFonts w:asciiTheme="majorHAnsi" w:hAnsiTheme="majorHAnsi" w:cstheme="majorHAnsi"/>
        </w:rPr>
        <w:t xml:space="preserve"> </w:t>
      </w:r>
      <w:r w:rsidR="00660AC3">
        <w:rPr>
          <w:rFonts w:asciiTheme="majorHAnsi" w:hAnsiTheme="majorHAnsi" w:cstheme="majorHAnsi"/>
        </w:rPr>
        <w:t>in</w:t>
      </w:r>
      <w:r>
        <w:rPr>
          <w:rFonts w:asciiTheme="majorHAnsi" w:hAnsiTheme="majorHAnsi" w:cstheme="majorHAnsi"/>
        </w:rPr>
        <w:t xml:space="preserve"> commercial buildings in the U.S.</w:t>
      </w:r>
      <w:r w:rsidR="00A579E0">
        <w:rPr>
          <w:rFonts w:asciiTheme="majorHAnsi" w:hAnsiTheme="majorHAnsi" w:cstheme="majorHAnsi"/>
        </w:rPr>
        <w:t xml:space="preserve"> The average commercial building </w:t>
      </w:r>
      <w:r w:rsidR="00660AC3">
        <w:rPr>
          <w:rFonts w:asciiTheme="majorHAnsi" w:hAnsiTheme="majorHAnsi" w:cstheme="majorHAnsi"/>
        </w:rPr>
        <w:t xml:space="preserve">age </w:t>
      </w:r>
      <w:r w:rsidR="00A579E0">
        <w:rPr>
          <w:rFonts w:asciiTheme="majorHAnsi" w:hAnsiTheme="majorHAnsi" w:cstheme="majorHAnsi"/>
        </w:rPr>
        <w:t xml:space="preserve">is about 32 years. </w:t>
      </w:r>
      <w:r w:rsidR="00660AC3">
        <w:rPr>
          <w:rFonts w:asciiTheme="majorHAnsi" w:hAnsiTheme="majorHAnsi" w:cstheme="majorHAnsi"/>
        </w:rPr>
        <w:t xml:space="preserve">The results of this project may also </w:t>
      </w:r>
      <w:r w:rsidR="00A579E0">
        <w:rPr>
          <w:rFonts w:asciiTheme="majorHAnsi" w:hAnsiTheme="majorHAnsi" w:cstheme="majorHAnsi"/>
        </w:rPr>
        <w:t>serve as impetus for retrofitting equipment to realize energy saving</w:t>
      </w:r>
      <w:r w:rsidR="003E661E">
        <w:rPr>
          <w:rFonts w:asciiTheme="majorHAnsi" w:hAnsiTheme="majorHAnsi" w:cstheme="majorHAnsi"/>
        </w:rPr>
        <w:t>s</w:t>
      </w:r>
      <w:r w:rsidR="00A579E0">
        <w:rPr>
          <w:rFonts w:asciiTheme="majorHAnsi" w:hAnsiTheme="majorHAnsi" w:cstheme="majorHAnsi"/>
        </w:rPr>
        <w:t xml:space="preserve"> and quality enhancements.</w:t>
      </w:r>
    </w:p>
    <w:p w:rsidR="00C679DE" w:rsidRDefault="00C679DE" w:rsidP="0073184C">
      <w:pPr>
        <w:rPr>
          <w:rFonts w:asciiTheme="majorHAnsi" w:hAnsiTheme="majorHAnsi" w:cstheme="majorHAnsi"/>
        </w:rPr>
      </w:pPr>
      <w:r>
        <w:rPr>
          <w:rFonts w:asciiTheme="majorHAnsi" w:hAnsiTheme="majorHAnsi" w:cstheme="majorHAnsi"/>
        </w:rPr>
        <w:t xml:space="preserve">In addition, new data on transformer loading and measured power losses of working transformers might be warrant a reassessment of the transformer efficiency test procedures </w:t>
      </w:r>
      <w:r w:rsidR="00660AC3">
        <w:rPr>
          <w:rFonts w:asciiTheme="majorHAnsi" w:hAnsiTheme="majorHAnsi" w:cstheme="majorHAnsi"/>
        </w:rPr>
        <w:t xml:space="preserve">specified </w:t>
      </w:r>
      <w:r>
        <w:rPr>
          <w:rFonts w:asciiTheme="majorHAnsi" w:hAnsiTheme="majorHAnsi" w:cstheme="majorHAnsi"/>
        </w:rPr>
        <w:t xml:space="preserve">by the U.S. Department of Energy. </w:t>
      </w:r>
    </w:p>
    <w:p w:rsidR="00A579E0" w:rsidRDefault="00A579E0" w:rsidP="0073184C">
      <w:pPr>
        <w:rPr>
          <w:rFonts w:asciiTheme="majorHAnsi" w:hAnsiTheme="majorHAnsi" w:cstheme="majorHAnsi"/>
        </w:rPr>
      </w:pPr>
      <w:r>
        <w:rPr>
          <w:rFonts w:asciiTheme="majorHAnsi" w:hAnsiTheme="majorHAnsi" w:cstheme="majorHAnsi"/>
        </w:rPr>
        <w:t xml:space="preserve">The </w:t>
      </w:r>
      <w:r w:rsidR="003E661E">
        <w:rPr>
          <w:rFonts w:asciiTheme="majorHAnsi" w:hAnsiTheme="majorHAnsi" w:cstheme="majorHAnsi"/>
        </w:rPr>
        <w:t>results from</w:t>
      </w:r>
      <w:r>
        <w:rPr>
          <w:rFonts w:asciiTheme="majorHAnsi" w:hAnsiTheme="majorHAnsi" w:cstheme="majorHAnsi"/>
        </w:rPr>
        <w:t xml:space="preserve"> this project will provide NEC code making panels data to reassess current NEC branch</w:t>
      </w:r>
      <w:r w:rsidR="00660AC3">
        <w:rPr>
          <w:rFonts w:asciiTheme="majorHAnsi" w:hAnsiTheme="majorHAnsi" w:cstheme="majorHAnsi"/>
        </w:rPr>
        <w:t>-</w:t>
      </w:r>
      <w:r>
        <w:rPr>
          <w:rFonts w:asciiTheme="majorHAnsi" w:hAnsiTheme="majorHAnsi" w:cstheme="majorHAnsi"/>
        </w:rPr>
        <w:t>circuit</w:t>
      </w:r>
      <w:r w:rsidR="00660AC3">
        <w:rPr>
          <w:rFonts w:asciiTheme="majorHAnsi" w:hAnsiTheme="majorHAnsi" w:cstheme="majorHAnsi"/>
        </w:rPr>
        <w:t>,</w:t>
      </w:r>
      <w:r>
        <w:rPr>
          <w:rFonts w:asciiTheme="majorHAnsi" w:hAnsiTheme="majorHAnsi" w:cstheme="majorHAnsi"/>
        </w:rPr>
        <w:t xml:space="preserve"> feeder</w:t>
      </w:r>
      <w:r w:rsidR="00660AC3">
        <w:rPr>
          <w:rFonts w:asciiTheme="majorHAnsi" w:hAnsiTheme="majorHAnsi" w:cstheme="majorHAnsi"/>
        </w:rPr>
        <w:t>, and service</w:t>
      </w:r>
      <w:r w:rsidR="003E661E">
        <w:rPr>
          <w:rFonts w:asciiTheme="majorHAnsi" w:hAnsiTheme="majorHAnsi" w:cstheme="majorHAnsi"/>
        </w:rPr>
        <w:t xml:space="preserve"> load calculations, particularly for lighting and receptacle load. </w:t>
      </w:r>
    </w:p>
    <w:p w:rsidR="003E661E" w:rsidRDefault="003E661E" w:rsidP="0073184C">
      <w:pPr>
        <w:rPr>
          <w:rFonts w:asciiTheme="majorHAnsi" w:hAnsiTheme="majorHAnsi" w:cstheme="majorHAnsi"/>
        </w:rPr>
      </w:pPr>
      <w:r>
        <w:rPr>
          <w:rFonts w:asciiTheme="majorHAnsi" w:hAnsiTheme="majorHAnsi" w:cstheme="majorHAnsi"/>
        </w:rPr>
        <w:t>The results of this project may stimulate additional national</w:t>
      </w:r>
      <w:r w:rsidR="00660AC3">
        <w:rPr>
          <w:rFonts w:asciiTheme="majorHAnsi" w:hAnsiTheme="majorHAnsi" w:cstheme="majorHAnsi"/>
        </w:rPr>
        <w:t>, standards, and professional group</w:t>
      </w:r>
      <w:r>
        <w:rPr>
          <w:rFonts w:asciiTheme="majorHAnsi" w:hAnsiTheme="majorHAnsi" w:cstheme="majorHAnsi"/>
        </w:rPr>
        <w:t xml:space="preserve"> discussion on energy conservation and sustainability specifically in regard to building electrical systems.</w:t>
      </w:r>
    </w:p>
    <w:p w:rsidR="00542D4F" w:rsidRDefault="00542D4F" w:rsidP="0073184C">
      <w:pPr>
        <w:rPr>
          <w:rFonts w:asciiTheme="majorHAnsi" w:hAnsiTheme="majorHAnsi" w:cstheme="majorHAnsi"/>
        </w:rPr>
      </w:pPr>
    </w:p>
    <w:p w:rsidR="00FB0B7E" w:rsidRPr="0077713E" w:rsidRDefault="00FB0B7E" w:rsidP="0073184C">
      <w:pPr>
        <w:rPr>
          <w:rFonts w:asciiTheme="majorHAnsi" w:hAnsiTheme="majorHAnsi" w:cstheme="majorHAnsi"/>
          <w:b/>
        </w:rPr>
      </w:pPr>
      <w:r w:rsidRPr="0077713E">
        <w:rPr>
          <w:rFonts w:asciiTheme="majorHAnsi" w:hAnsiTheme="majorHAnsi" w:cstheme="majorHAnsi"/>
          <w:b/>
        </w:rPr>
        <w:t>Data Collection Plan</w:t>
      </w:r>
    </w:p>
    <w:p w:rsidR="00AB307A" w:rsidRPr="0077713E" w:rsidRDefault="00DF71B5" w:rsidP="0073184C">
      <w:pPr>
        <w:rPr>
          <w:rFonts w:asciiTheme="majorHAnsi" w:hAnsiTheme="majorHAnsi" w:cstheme="majorHAnsi"/>
          <w:b/>
        </w:rPr>
      </w:pPr>
      <w:r w:rsidRPr="0077713E">
        <w:rPr>
          <w:rFonts w:asciiTheme="majorHAnsi" w:hAnsiTheme="majorHAnsi" w:cstheme="majorHAnsi"/>
          <w:b/>
        </w:rPr>
        <w:t>Objective</w:t>
      </w:r>
    </w:p>
    <w:p w:rsidR="00542C8B" w:rsidRDefault="00542C8B" w:rsidP="00542C8B">
      <w:pPr>
        <w:rPr>
          <w:rFonts w:asciiTheme="majorHAnsi" w:hAnsiTheme="majorHAnsi" w:cstheme="majorHAnsi"/>
        </w:rPr>
      </w:pPr>
      <w:r>
        <w:rPr>
          <w:rFonts w:asciiTheme="majorHAnsi" w:hAnsiTheme="majorHAnsi" w:cstheme="majorHAnsi"/>
        </w:rPr>
        <w:t xml:space="preserve">The objective is to locate fifty commercial buildings where electrical feeder loading can be monitored for one calendar year. Previous studies in the reliability of electrical equipment found that at least forty samples were needed for the results to be statistically </w:t>
      </w:r>
      <w:r w:rsidR="00AB2954">
        <w:rPr>
          <w:rFonts w:asciiTheme="majorHAnsi" w:hAnsiTheme="majorHAnsi" w:cstheme="majorHAnsi"/>
        </w:rPr>
        <w:t>meaningful</w:t>
      </w:r>
      <w:r>
        <w:rPr>
          <w:rFonts w:asciiTheme="majorHAnsi" w:hAnsiTheme="majorHAnsi" w:cstheme="majorHAnsi"/>
        </w:rPr>
        <w:t xml:space="preserve">. Ten additional office buildings have been added to </w:t>
      </w:r>
      <w:r w:rsidR="00AB2954">
        <w:rPr>
          <w:rFonts w:asciiTheme="majorHAnsi" w:hAnsiTheme="majorHAnsi" w:cstheme="majorHAnsi"/>
        </w:rPr>
        <w:t>enhance the statistical value and to c</w:t>
      </w:r>
      <w:r>
        <w:rPr>
          <w:rFonts w:asciiTheme="majorHAnsi" w:hAnsiTheme="majorHAnsi" w:cstheme="majorHAnsi"/>
        </w:rPr>
        <w:t>ompensate for a</w:t>
      </w:r>
      <w:r w:rsidR="00AB2954">
        <w:rPr>
          <w:rFonts w:asciiTheme="majorHAnsi" w:hAnsiTheme="majorHAnsi" w:cstheme="majorHAnsi"/>
        </w:rPr>
        <w:t>ny</w:t>
      </w:r>
      <w:r>
        <w:rPr>
          <w:rFonts w:asciiTheme="majorHAnsi" w:hAnsiTheme="majorHAnsi" w:cstheme="majorHAnsi"/>
        </w:rPr>
        <w:t xml:space="preserve"> site</w:t>
      </w:r>
      <w:r w:rsidR="00AB2954">
        <w:rPr>
          <w:rFonts w:asciiTheme="majorHAnsi" w:hAnsiTheme="majorHAnsi" w:cstheme="majorHAnsi"/>
        </w:rPr>
        <w:t>s</w:t>
      </w:r>
      <w:r>
        <w:rPr>
          <w:rFonts w:asciiTheme="majorHAnsi" w:hAnsiTheme="majorHAnsi" w:cstheme="majorHAnsi"/>
        </w:rPr>
        <w:t xml:space="preserve"> withdrawing, data being lost, or any unforeseen event which might reduce value of the building’s contribution to the study.</w:t>
      </w:r>
    </w:p>
    <w:p w:rsidR="00A0240A" w:rsidRDefault="00A0240A" w:rsidP="0073184C">
      <w:pPr>
        <w:rPr>
          <w:rFonts w:asciiTheme="majorHAnsi" w:hAnsiTheme="majorHAnsi" w:cstheme="majorHAnsi"/>
          <w:b/>
        </w:rPr>
      </w:pPr>
    </w:p>
    <w:p w:rsidR="00542C8B" w:rsidRPr="0077713E" w:rsidRDefault="00542C8B" w:rsidP="0073184C">
      <w:pPr>
        <w:rPr>
          <w:rFonts w:asciiTheme="majorHAnsi" w:hAnsiTheme="majorHAnsi" w:cstheme="majorHAnsi"/>
          <w:b/>
        </w:rPr>
      </w:pPr>
      <w:r w:rsidRPr="0077713E">
        <w:rPr>
          <w:rFonts w:asciiTheme="majorHAnsi" w:hAnsiTheme="majorHAnsi" w:cstheme="majorHAnsi"/>
          <w:b/>
        </w:rPr>
        <w:t>Select</w:t>
      </w:r>
      <w:r w:rsidR="001F60B1" w:rsidRPr="0077713E">
        <w:rPr>
          <w:rFonts w:asciiTheme="majorHAnsi" w:hAnsiTheme="majorHAnsi" w:cstheme="majorHAnsi"/>
          <w:b/>
        </w:rPr>
        <w:t>ion of Types of Commercial Buildings</w:t>
      </w:r>
    </w:p>
    <w:p w:rsidR="00D067D9" w:rsidRDefault="00D067D9" w:rsidP="0073184C">
      <w:pPr>
        <w:rPr>
          <w:rFonts w:asciiTheme="majorHAnsi" w:hAnsiTheme="majorHAnsi" w:cstheme="majorHAnsi"/>
        </w:rPr>
      </w:pPr>
      <w:r>
        <w:rPr>
          <w:rFonts w:asciiTheme="majorHAnsi" w:hAnsiTheme="majorHAnsi" w:cstheme="majorHAnsi"/>
        </w:rPr>
        <w:t>Three potential groups of commercial buildings have been identified</w:t>
      </w:r>
      <w:r w:rsidR="00AB2954">
        <w:rPr>
          <w:rFonts w:asciiTheme="majorHAnsi" w:hAnsiTheme="majorHAnsi" w:cstheme="majorHAnsi"/>
        </w:rPr>
        <w:t xml:space="preserve"> for study</w:t>
      </w:r>
      <w:r w:rsidR="001F60B1">
        <w:rPr>
          <w:rFonts w:asciiTheme="majorHAnsi" w:hAnsiTheme="majorHAnsi" w:cstheme="majorHAnsi"/>
        </w:rPr>
        <w:t xml:space="preserve">. The final selection of which group of commercial buildings </w:t>
      </w:r>
      <w:r w:rsidR="00AB2954">
        <w:rPr>
          <w:rFonts w:asciiTheme="majorHAnsi" w:hAnsiTheme="majorHAnsi" w:cstheme="majorHAnsi"/>
        </w:rPr>
        <w:t>should be</w:t>
      </w:r>
      <w:r w:rsidR="001F60B1">
        <w:rPr>
          <w:rFonts w:asciiTheme="majorHAnsi" w:hAnsiTheme="majorHAnsi" w:cstheme="majorHAnsi"/>
        </w:rPr>
        <w:t xml:space="preserve"> monitor</w:t>
      </w:r>
      <w:r w:rsidR="00AB2954">
        <w:rPr>
          <w:rFonts w:asciiTheme="majorHAnsi" w:hAnsiTheme="majorHAnsi" w:cstheme="majorHAnsi"/>
        </w:rPr>
        <w:t>ed</w:t>
      </w:r>
      <w:r w:rsidR="001F60B1">
        <w:rPr>
          <w:rFonts w:asciiTheme="majorHAnsi" w:hAnsiTheme="majorHAnsi" w:cstheme="majorHAnsi"/>
        </w:rPr>
        <w:t xml:space="preserve"> </w:t>
      </w:r>
      <w:r w:rsidR="00AB2954">
        <w:rPr>
          <w:rFonts w:asciiTheme="majorHAnsi" w:hAnsiTheme="majorHAnsi" w:cstheme="majorHAnsi"/>
        </w:rPr>
        <w:t xml:space="preserve">may </w:t>
      </w:r>
      <w:r w:rsidR="001F60B1">
        <w:rPr>
          <w:rFonts w:asciiTheme="majorHAnsi" w:hAnsiTheme="majorHAnsi" w:cstheme="majorHAnsi"/>
        </w:rPr>
        <w:t>depend on budget</w:t>
      </w:r>
      <w:r w:rsidR="00AB2954">
        <w:rPr>
          <w:rFonts w:asciiTheme="majorHAnsi" w:hAnsiTheme="majorHAnsi" w:cstheme="majorHAnsi"/>
        </w:rPr>
        <w:t>, interest,</w:t>
      </w:r>
      <w:r w:rsidR="001F60B1">
        <w:rPr>
          <w:rFonts w:asciiTheme="majorHAnsi" w:hAnsiTheme="majorHAnsi" w:cstheme="majorHAnsi"/>
        </w:rPr>
        <w:t xml:space="preserve"> </w:t>
      </w:r>
      <w:r w:rsidR="00AB2954">
        <w:rPr>
          <w:rFonts w:asciiTheme="majorHAnsi" w:hAnsiTheme="majorHAnsi" w:cstheme="majorHAnsi"/>
        </w:rPr>
        <w:t>and</w:t>
      </w:r>
      <w:r w:rsidR="001F60B1">
        <w:rPr>
          <w:rFonts w:asciiTheme="majorHAnsi" w:hAnsiTheme="majorHAnsi" w:cstheme="majorHAnsi"/>
        </w:rPr>
        <w:t xml:space="preserve"> Phase II sponsorship. </w:t>
      </w:r>
    </w:p>
    <w:p w:rsidR="00A0240A" w:rsidRPr="00A0240A" w:rsidRDefault="00A0240A" w:rsidP="0073184C">
      <w:pPr>
        <w:rPr>
          <w:rFonts w:asciiTheme="majorHAnsi" w:hAnsiTheme="majorHAnsi" w:cstheme="majorHAnsi"/>
          <w:b/>
        </w:rPr>
      </w:pPr>
      <w:r w:rsidRPr="00A0240A">
        <w:rPr>
          <w:rFonts w:asciiTheme="majorHAnsi" w:hAnsiTheme="majorHAnsi" w:cstheme="majorHAnsi"/>
          <w:b/>
        </w:rPr>
        <w:lastRenderedPageBreak/>
        <w:t>Building Selection Option 1</w:t>
      </w:r>
    </w:p>
    <w:p w:rsidR="00D067D9" w:rsidRDefault="00AB2954" w:rsidP="00D067D9">
      <w:pPr>
        <w:pStyle w:val="ListParagraph"/>
        <w:numPr>
          <w:ilvl w:val="0"/>
          <w:numId w:val="2"/>
        </w:numPr>
        <w:rPr>
          <w:rFonts w:asciiTheme="majorHAnsi" w:hAnsiTheme="majorHAnsi" w:cstheme="majorHAnsi"/>
        </w:rPr>
      </w:pPr>
      <w:r>
        <w:rPr>
          <w:rFonts w:asciiTheme="majorHAnsi" w:hAnsiTheme="majorHAnsi" w:cstheme="majorHAnsi"/>
        </w:rPr>
        <w:t>The F</w:t>
      </w:r>
      <w:r w:rsidR="00D067D9">
        <w:rPr>
          <w:rFonts w:asciiTheme="majorHAnsi" w:hAnsiTheme="majorHAnsi" w:cstheme="majorHAnsi"/>
        </w:rPr>
        <w:t xml:space="preserve">ifteen Commercial Building Types </w:t>
      </w:r>
      <w:r>
        <w:rPr>
          <w:rFonts w:asciiTheme="majorHAnsi" w:hAnsiTheme="majorHAnsi" w:cstheme="majorHAnsi"/>
        </w:rPr>
        <w:t xml:space="preserve">as </w:t>
      </w:r>
      <w:r w:rsidR="00D067D9">
        <w:rPr>
          <w:rFonts w:asciiTheme="majorHAnsi" w:hAnsiTheme="majorHAnsi" w:cstheme="majorHAnsi"/>
        </w:rPr>
        <w:t>identified in the 2012 CBECS</w:t>
      </w:r>
    </w:p>
    <w:p w:rsidR="007E487F" w:rsidRDefault="007E487F" w:rsidP="007E487F">
      <w:pPr>
        <w:pStyle w:val="ListParagraph"/>
        <w:numPr>
          <w:ilvl w:val="1"/>
          <w:numId w:val="2"/>
        </w:numPr>
        <w:rPr>
          <w:rFonts w:asciiTheme="majorHAnsi" w:hAnsiTheme="majorHAnsi" w:cstheme="majorHAnsi"/>
        </w:rPr>
      </w:pPr>
      <w:r>
        <w:rPr>
          <w:rFonts w:asciiTheme="majorHAnsi" w:hAnsiTheme="majorHAnsi" w:cstheme="majorHAnsi"/>
        </w:rPr>
        <w:t>1</w:t>
      </w:r>
      <w:r w:rsidR="00D13B5E">
        <w:rPr>
          <w:rFonts w:asciiTheme="majorHAnsi" w:hAnsiTheme="majorHAnsi" w:cstheme="majorHAnsi"/>
        </w:rPr>
        <w:t>92</w:t>
      </w:r>
      <w:r>
        <w:rPr>
          <w:rFonts w:asciiTheme="majorHAnsi" w:hAnsiTheme="majorHAnsi" w:cstheme="majorHAnsi"/>
        </w:rPr>
        <w:t xml:space="preserve"> commercial buildings</w:t>
      </w:r>
      <w:r w:rsidR="00424B87">
        <w:rPr>
          <w:rFonts w:asciiTheme="majorHAnsi" w:hAnsiTheme="majorHAnsi" w:cstheme="majorHAnsi"/>
        </w:rPr>
        <w:t xml:space="preserve"> </w:t>
      </w:r>
      <w:r w:rsidR="00AB2954">
        <w:rPr>
          <w:rFonts w:asciiTheme="majorHAnsi" w:hAnsiTheme="majorHAnsi" w:cstheme="majorHAnsi"/>
        </w:rPr>
        <w:t>total --</w:t>
      </w:r>
      <w:r w:rsidR="00424B87">
        <w:rPr>
          <w:rFonts w:asciiTheme="majorHAnsi" w:hAnsiTheme="majorHAnsi" w:cstheme="majorHAnsi"/>
        </w:rPr>
        <w:t xml:space="preserve"> </w:t>
      </w:r>
      <w:r>
        <w:rPr>
          <w:rFonts w:asciiTheme="majorHAnsi" w:hAnsiTheme="majorHAnsi" w:cstheme="majorHAnsi"/>
        </w:rPr>
        <w:t>1</w:t>
      </w:r>
      <w:r w:rsidR="00D13B5E">
        <w:rPr>
          <w:rFonts w:asciiTheme="majorHAnsi" w:hAnsiTheme="majorHAnsi" w:cstheme="majorHAnsi"/>
        </w:rPr>
        <w:t>2</w:t>
      </w:r>
      <w:r>
        <w:rPr>
          <w:rFonts w:asciiTheme="majorHAnsi" w:hAnsiTheme="majorHAnsi" w:cstheme="majorHAnsi"/>
        </w:rPr>
        <w:t xml:space="preserve"> for each </w:t>
      </w:r>
      <w:r w:rsidR="00AB2954">
        <w:rPr>
          <w:rFonts w:asciiTheme="majorHAnsi" w:hAnsiTheme="majorHAnsi" w:cstheme="majorHAnsi"/>
        </w:rPr>
        <w:t xml:space="preserve">of the 14 </w:t>
      </w:r>
      <w:r>
        <w:rPr>
          <w:rFonts w:asciiTheme="majorHAnsi" w:hAnsiTheme="majorHAnsi" w:cstheme="majorHAnsi"/>
        </w:rPr>
        <w:t>type</w:t>
      </w:r>
      <w:r w:rsidR="00AB2954">
        <w:rPr>
          <w:rFonts w:asciiTheme="majorHAnsi" w:hAnsiTheme="majorHAnsi" w:cstheme="majorHAnsi"/>
        </w:rPr>
        <w:t>s</w:t>
      </w:r>
      <w:r>
        <w:rPr>
          <w:rFonts w:asciiTheme="majorHAnsi" w:hAnsiTheme="majorHAnsi" w:cstheme="majorHAnsi"/>
        </w:rPr>
        <w:t xml:space="preserve"> except </w:t>
      </w:r>
      <w:r w:rsidR="00AB2954">
        <w:rPr>
          <w:rFonts w:asciiTheme="majorHAnsi" w:hAnsiTheme="majorHAnsi" w:cstheme="majorHAnsi"/>
        </w:rPr>
        <w:t>offices</w:t>
      </w:r>
    </w:p>
    <w:p w:rsidR="007E487F" w:rsidRDefault="007E487F" w:rsidP="007E487F">
      <w:pPr>
        <w:pStyle w:val="ListParagraph"/>
        <w:numPr>
          <w:ilvl w:val="1"/>
          <w:numId w:val="2"/>
        </w:numPr>
        <w:rPr>
          <w:rFonts w:asciiTheme="majorHAnsi" w:hAnsiTheme="majorHAnsi" w:cstheme="majorHAnsi"/>
        </w:rPr>
      </w:pPr>
      <w:r>
        <w:rPr>
          <w:rFonts w:asciiTheme="majorHAnsi" w:hAnsiTheme="majorHAnsi" w:cstheme="majorHAnsi"/>
        </w:rPr>
        <w:t>1</w:t>
      </w:r>
      <w:r w:rsidR="00D13B5E">
        <w:rPr>
          <w:rFonts w:asciiTheme="majorHAnsi" w:hAnsiTheme="majorHAnsi" w:cstheme="majorHAnsi"/>
        </w:rPr>
        <w:t>2</w:t>
      </w:r>
      <w:r>
        <w:rPr>
          <w:rFonts w:asciiTheme="majorHAnsi" w:hAnsiTheme="majorHAnsi" w:cstheme="majorHAnsi"/>
        </w:rPr>
        <w:t xml:space="preserve"> for office buildings up to 50,000 sq. ft.</w:t>
      </w:r>
      <w:r w:rsidR="00424B87">
        <w:rPr>
          <w:rFonts w:asciiTheme="majorHAnsi" w:hAnsiTheme="majorHAnsi" w:cstheme="majorHAnsi"/>
        </w:rPr>
        <w:t xml:space="preserve"> and 1</w:t>
      </w:r>
      <w:r w:rsidR="00D13B5E">
        <w:rPr>
          <w:rFonts w:asciiTheme="majorHAnsi" w:hAnsiTheme="majorHAnsi" w:cstheme="majorHAnsi"/>
        </w:rPr>
        <w:t>2</w:t>
      </w:r>
      <w:r w:rsidR="00424B87">
        <w:rPr>
          <w:rFonts w:asciiTheme="majorHAnsi" w:hAnsiTheme="majorHAnsi" w:cstheme="majorHAnsi"/>
        </w:rPr>
        <w:t xml:space="preserve"> for those over 50,000 sq. ft.</w:t>
      </w:r>
    </w:p>
    <w:p w:rsidR="007E487F" w:rsidRDefault="00AB2954" w:rsidP="00D067D9">
      <w:pPr>
        <w:rPr>
          <w:rFonts w:asciiTheme="majorHAnsi" w:hAnsiTheme="majorHAnsi" w:cstheme="majorHAnsi"/>
        </w:rPr>
      </w:pPr>
      <w:r>
        <w:rPr>
          <w:rFonts w:asciiTheme="majorHAnsi" w:hAnsiTheme="majorHAnsi" w:cstheme="majorHAnsi"/>
        </w:rPr>
        <w:t>Electrical f</w:t>
      </w:r>
      <w:r w:rsidR="00D067D9">
        <w:rPr>
          <w:rFonts w:asciiTheme="majorHAnsi" w:hAnsiTheme="majorHAnsi" w:cstheme="majorHAnsi"/>
        </w:rPr>
        <w:t xml:space="preserve">eeder and branch circuit loading study is needed for </w:t>
      </w:r>
      <w:r>
        <w:rPr>
          <w:rFonts w:asciiTheme="majorHAnsi" w:hAnsiTheme="majorHAnsi" w:cstheme="majorHAnsi"/>
        </w:rPr>
        <w:t>different types of commercial buildings</w:t>
      </w:r>
      <w:r w:rsidR="00D067D9">
        <w:rPr>
          <w:rFonts w:asciiTheme="majorHAnsi" w:hAnsiTheme="majorHAnsi" w:cstheme="majorHAnsi"/>
        </w:rPr>
        <w:t xml:space="preserve">. The 2012 </w:t>
      </w:r>
      <w:r w:rsidR="00BD6FBC">
        <w:rPr>
          <w:rFonts w:asciiTheme="majorHAnsi" w:hAnsiTheme="majorHAnsi" w:cstheme="majorHAnsi"/>
        </w:rPr>
        <w:t xml:space="preserve">CBECS, costing in the tens of millions, </w:t>
      </w:r>
      <w:r w:rsidR="00D067D9">
        <w:rPr>
          <w:rFonts w:asciiTheme="majorHAnsi" w:hAnsiTheme="majorHAnsi" w:cstheme="majorHAnsi"/>
        </w:rPr>
        <w:t>collected detailed information about</w:t>
      </w:r>
      <w:r w:rsidR="00A0240A">
        <w:rPr>
          <w:rFonts w:asciiTheme="majorHAnsi" w:hAnsiTheme="majorHAnsi" w:cstheme="majorHAnsi"/>
        </w:rPr>
        <w:t xml:space="preserve"> 6720</w:t>
      </w:r>
      <w:r w:rsidR="00D067D9">
        <w:rPr>
          <w:rFonts w:asciiTheme="majorHAnsi" w:hAnsiTheme="majorHAnsi" w:cstheme="majorHAnsi"/>
        </w:rPr>
        <w:t xml:space="preserve"> commercial buildings</w:t>
      </w:r>
      <w:r w:rsidR="00BD6FBC">
        <w:rPr>
          <w:rFonts w:asciiTheme="majorHAnsi" w:hAnsiTheme="majorHAnsi" w:cstheme="majorHAnsi"/>
        </w:rPr>
        <w:t xml:space="preserve"> to</w:t>
      </w:r>
      <w:r w:rsidR="00D067D9">
        <w:rPr>
          <w:rFonts w:asciiTheme="majorHAnsi" w:hAnsiTheme="majorHAnsi" w:cstheme="majorHAnsi"/>
        </w:rPr>
        <w:t xml:space="preserve"> project energy consum</w:t>
      </w:r>
      <w:r w:rsidR="00A0240A">
        <w:rPr>
          <w:rFonts w:asciiTheme="majorHAnsi" w:hAnsiTheme="majorHAnsi" w:cstheme="majorHAnsi"/>
        </w:rPr>
        <w:t>ed</w:t>
      </w:r>
      <w:r w:rsidR="00BD6FBC">
        <w:rPr>
          <w:rFonts w:asciiTheme="majorHAnsi" w:hAnsiTheme="majorHAnsi" w:cstheme="majorHAnsi"/>
        </w:rPr>
        <w:t xml:space="preserve"> </w:t>
      </w:r>
      <w:r w:rsidR="00A0240A">
        <w:rPr>
          <w:rFonts w:asciiTheme="majorHAnsi" w:hAnsiTheme="majorHAnsi" w:cstheme="majorHAnsi"/>
        </w:rPr>
        <w:t>by</w:t>
      </w:r>
      <w:r w:rsidR="00D067D9">
        <w:rPr>
          <w:rFonts w:asciiTheme="majorHAnsi" w:hAnsiTheme="majorHAnsi" w:cstheme="majorHAnsi"/>
        </w:rPr>
        <w:t xml:space="preserve"> </w:t>
      </w:r>
      <w:r w:rsidR="00A0240A">
        <w:rPr>
          <w:rFonts w:asciiTheme="majorHAnsi" w:hAnsiTheme="majorHAnsi" w:cstheme="majorHAnsi"/>
        </w:rPr>
        <w:t>major and minor</w:t>
      </w:r>
      <w:r w:rsidR="00D067D9">
        <w:rPr>
          <w:rFonts w:asciiTheme="majorHAnsi" w:hAnsiTheme="majorHAnsi" w:cstheme="majorHAnsi"/>
        </w:rPr>
        <w:t xml:space="preserve"> e</w:t>
      </w:r>
      <w:r w:rsidR="00A0240A">
        <w:rPr>
          <w:rFonts w:asciiTheme="majorHAnsi" w:hAnsiTheme="majorHAnsi" w:cstheme="majorHAnsi"/>
        </w:rPr>
        <w:t>nd-use loads in all commercial buildings</w:t>
      </w:r>
      <w:r w:rsidR="007E487F">
        <w:rPr>
          <w:rFonts w:asciiTheme="majorHAnsi" w:hAnsiTheme="majorHAnsi" w:cstheme="majorHAnsi"/>
        </w:rPr>
        <w:t>. Although the study collects information about electricity</w:t>
      </w:r>
      <w:r w:rsidR="00A0240A">
        <w:rPr>
          <w:rFonts w:asciiTheme="majorHAnsi" w:hAnsiTheme="majorHAnsi" w:cstheme="majorHAnsi"/>
        </w:rPr>
        <w:t xml:space="preserve"> </w:t>
      </w:r>
      <w:r w:rsidR="007E487F">
        <w:rPr>
          <w:rFonts w:asciiTheme="majorHAnsi" w:hAnsiTheme="majorHAnsi" w:cstheme="majorHAnsi"/>
        </w:rPr>
        <w:t xml:space="preserve">usage, the specific energy consumption of end-use loads is not measured; it is </w:t>
      </w:r>
      <w:r w:rsidR="00A0240A">
        <w:rPr>
          <w:rFonts w:asciiTheme="majorHAnsi" w:hAnsiTheme="majorHAnsi" w:cstheme="majorHAnsi"/>
        </w:rPr>
        <w:t>estimated based on</w:t>
      </w:r>
      <w:r w:rsidR="007E487F">
        <w:rPr>
          <w:rFonts w:asciiTheme="majorHAnsi" w:hAnsiTheme="majorHAnsi" w:cstheme="majorHAnsi"/>
        </w:rPr>
        <w:t xml:space="preserve"> survey information about building HVAC equipment, lighting types, general numbers of computer and office equipment, etc. </w:t>
      </w:r>
    </w:p>
    <w:p w:rsidR="007E487F" w:rsidRDefault="007E487F" w:rsidP="00D067D9">
      <w:pPr>
        <w:rPr>
          <w:rFonts w:asciiTheme="majorHAnsi" w:hAnsiTheme="majorHAnsi" w:cstheme="majorHAnsi"/>
        </w:rPr>
      </w:pPr>
      <w:r>
        <w:rPr>
          <w:rFonts w:asciiTheme="majorHAnsi" w:hAnsiTheme="majorHAnsi" w:cstheme="majorHAnsi"/>
        </w:rPr>
        <w:t xml:space="preserve">The </w:t>
      </w:r>
      <w:r w:rsidR="00424B87">
        <w:rPr>
          <w:rFonts w:asciiTheme="majorHAnsi" w:hAnsiTheme="majorHAnsi" w:cstheme="majorHAnsi"/>
        </w:rPr>
        <w:t xml:space="preserve">U.S. </w:t>
      </w:r>
      <w:r>
        <w:rPr>
          <w:rFonts w:asciiTheme="majorHAnsi" w:hAnsiTheme="majorHAnsi" w:cstheme="majorHAnsi"/>
        </w:rPr>
        <w:t>Department of Energy has developed its Commercial Building Reference Models from the 2003 CBECS and information found in ASHRAE standards.</w:t>
      </w:r>
    </w:p>
    <w:p w:rsidR="008D3140" w:rsidRDefault="00424B87" w:rsidP="00D067D9">
      <w:pPr>
        <w:rPr>
          <w:rFonts w:asciiTheme="majorHAnsi" w:hAnsiTheme="majorHAnsi" w:cstheme="majorHAnsi"/>
        </w:rPr>
      </w:pPr>
      <w:r>
        <w:rPr>
          <w:rFonts w:asciiTheme="majorHAnsi" w:hAnsiTheme="majorHAnsi" w:cstheme="majorHAnsi"/>
        </w:rPr>
        <w:t xml:space="preserve">The U.S. Department of Energy, the U.S. Energy Administration, and standards need data on the electricity consumption of specific load types in </w:t>
      </w:r>
      <w:r w:rsidR="00A0240A">
        <w:rPr>
          <w:rFonts w:asciiTheme="majorHAnsi" w:hAnsiTheme="majorHAnsi" w:cstheme="majorHAnsi"/>
        </w:rPr>
        <w:t xml:space="preserve">all types of </w:t>
      </w:r>
      <w:r>
        <w:rPr>
          <w:rFonts w:asciiTheme="majorHAnsi" w:hAnsiTheme="majorHAnsi" w:cstheme="majorHAnsi"/>
        </w:rPr>
        <w:t xml:space="preserve">commercial buildings. The U.S. government might use this information to help shape energy-related policies and develop more accurate models for electricity consumption in buildings. Consumption data on heating, cooling, ventilation, and refrigeration data would shed light on demand and mean power consumption of equipment with respect to </w:t>
      </w:r>
      <w:r w:rsidR="00B75ADC">
        <w:rPr>
          <w:rFonts w:asciiTheme="majorHAnsi" w:hAnsiTheme="majorHAnsi" w:cstheme="majorHAnsi"/>
        </w:rPr>
        <w:t xml:space="preserve">manufacturer specifications, building needs, and electrical system design requirements. Inventory information and power and energy requirements for lighting and receptacles would shed light </w:t>
      </w:r>
      <w:r w:rsidR="00A0240A">
        <w:rPr>
          <w:rFonts w:asciiTheme="majorHAnsi" w:hAnsiTheme="majorHAnsi" w:cstheme="majorHAnsi"/>
        </w:rPr>
        <w:t xml:space="preserve">on </w:t>
      </w:r>
      <w:r w:rsidR="00B75ADC">
        <w:rPr>
          <w:rFonts w:asciiTheme="majorHAnsi" w:hAnsiTheme="majorHAnsi" w:cstheme="majorHAnsi"/>
        </w:rPr>
        <w:t>usage and power demand requirements.</w:t>
      </w:r>
    </w:p>
    <w:p w:rsidR="00FA1010" w:rsidRDefault="008D3140" w:rsidP="00D067D9">
      <w:pPr>
        <w:rPr>
          <w:rFonts w:asciiTheme="majorHAnsi" w:hAnsiTheme="majorHAnsi" w:cstheme="majorHAnsi"/>
        </w:rPr>
      </w:pPr>
      <w:r>
        <w:rPr>
          <w:rFonts w:asciiTheme="majorHAnsi" w:hAnsiTheme="majorHAnsi" w:cstheme="majorHAnsi"/>
        </w:rPr>
        <w:t xml:space="preserve">Furthermore, the U.S. Department of Energy </w:t>
      </w:r>
      <w:r w:rsidR="00A0240A">
        <w:rPr>
          <w:rFonts w:asciiTheme="majorHAnsi" w:hAnsiTheme="majorHAnsi" w:cstheme="majorHAnsi"/>
        </w:rPr>
        <w:t xml:space="preserve">mandates efficiency requirements and </w:t>
      </w:r>
      <w:r>
        <w:rPr>
          <w:rFonts w:asciiTheme="majorHAnsi" w:hAnsiTheme="majorHAnsi" w:cstheme="majorHAnsi"/>
        </w:rPr>
        <w:t xml:space="preserve">defines test procedures for measuring </w:t>
      </w:r>
      <w:r w:rsidR="00A06E80">
        <w:rPr>
          <w:rFonts w:asciiTheme="majorHAnsi" w:hAnsiTheme="majorHAnsi" w:cstheme="majorHAnsi"/>
        </w:rPr>
        <w:t xml:space="preserve">distribution transformer </w:t>
      </w:r>
      <w:r>
        <w:rPr>
          <w:rFonts w:asciiTheme="majorHAnsi" w:hAnsiTheme="majorHAnsi" w:cstheme="majorHAnsi"/>
        </w:rPr>
        <w:t xml:space="preserve">energy </w:t>
      </w:r>
      <w:r w:rsidR="00A06E80">
        <w:rPr>
          <w:rFonts w:asciiTheme="majorHAnsi" w:hAnsiTheme="majorHAnsi" w:cstheme="majorHAnsi"/>
        </w:rPr>
        <w:t>loss</w:t>
      </w:r>
      <w:r>
        <w:rPr>
          <w:rFonts w:asciiTheme="majorHAnsi" w:hAnsiTheme="majorHAnsi" w:cstheme="majorHAnsi"/>
        </w:rPr>
        <w:t xml:space="preserve"> in the Code of Federal Regulations</w:t>
      </w:r>
      <w:r w:rsidR="00D67EA5">
        <w:rPr>
          <w:rFonts w:asciiTheme="majorHAnsi" w:hAnsiTheme="majorHAnsi" w:cstheme="majorHAnsi"/>
        </w:rPr>
        <w:t>.</w:t>
      </w:r>
      <w:r>
        <w:rPr>
          <w:rFonts w:asciiTheme="majorHAnsi" w:hAnsiTheme="majorHAnsi" w:cstheme="majorHAnsi"/>
        </w:rPr>
        <w:t xml:space="preserve"> </w:t>
      </w:r>
      <w:r w:rsidR="00A0240A">
        <w:rPr>
          <w:rFonts w:asciiTheme="majorHAnsi" w:hAnsiTheme="majorHAnsi" w:cstheme="majorHAnsi"/>
        </w:rPr>
        <w:t>Transformer efficiency is a</w:t>
      </w:r>
      <w:r w:rsidR="00D67EA5">
        <w:rPr>
          <w:rFonts w:asciiTheme="majorHAnsi" w:hAnsiTheme="majorHAnsi" w:cstheme="majorHAnsi"/>
        </w:rPr>
        <w:t xml:space="preserve"> transformer loading; 10 CFR §431.196 specifies transformer loading during the testing at 35% of rated load. If 35% loading is not representative of transformer loading, the DOE test</w:t>
      </w:r>
      <w:r w:rsidR="00F92007">
        <w:rPr>
          <w:rFonts w:asciiTheme="majorHAnsi" w:hAnsiTheme="majorHAnsi" w:cstheme="majorHAnsi"/>
        </w:rPr>
        <w:t xml:space="preserve"> procedure may not provide a good assessment of energy loss in working transformers</w:t>
      </w:r>
      <w:r w:rsidR="00D67EA5">
        <w:rPr>
          <w:rFonts w:asciiTheme="majorHAnsi" w:hAnsiTheme="majorHAnsi" w:cstheme="majorHAnsi"/>
        </w:rPr>
        <w:t>.</w:t>
      </w:r>
    </w:p>
    <w:p w:rsidR="00424B87" w:rsidRDefault="00FA1010" w:rsidP="00D067D9">
      <w:pPr>
        <w:rPr>
          <w:rFonts w:asciiTheme="majorHAnsi" w:hAnsiTheme="majorHAnsi" w:cstheme="majorHAnsi"/>
        </w:rPr>
      </w:pPr>
      <w:r>
        <w:rPr>
          <w:rFonts w:asciiTheme="majorHAnsi" w:hAnsiTheme="majorHAnsi" w:cstheme="majorHAnsi"/>
        </w:rPr>
        <w:t>Different building types may have different load profiles and transforming loading.</w:t>
      </w:r>
      <w:r w:rsidR="00D67EA5">
        <w:rPr>
          <w:rFonts w:asciiTheme="majorHAnsi" w:hAnsiTheme="majorHAnsi" w:cstheme="majorHAnsi"/>
        </w:rPr>
        <w:t xml:space="preserve"> </w:t>
      </w:r>
    </w:p>
    <w:p w:rsidR="00A0240A" w:rsidRPr="00A0240A" w:rsidRDefault="00A0240A" w:rsidP="00D067D9">
      <w:pPr>
        <w:rPr>
          <w:rFonts w:asciiTheme="majorHAnsi" w:hAnsiTheme="majorHAnsi" w:cstheme="majorHAnsi"/>
          <w:b/>
        </w:rPr>
      </w:pPr>
      <w:r w:rsidRPr="00A0240A">
        <w:rPr>
          <w:rFonts w:asciiTheme="majorHAnsi" w:hAnsiTheme="majorHAnsi" w:cstheme="majorHAnsi"/>
          <w:b/>
        </w:rPr>
        <w:t>Building Selection Option 2</w:t>
      </w:r>
    </w:p>
    <w:p w:rsidR="00B75ADC" w:rsidRDefault="001F60B1" w:rsidP="001F60B1">
      <w:pPr>
        <w:pStyle w:val="ListParagraph"/>
        <w:numPr>
          <w:ilvl w:val="0"/>
          <w:numId w:val="2"/>
        </w:numPr>
        <w:rPr>
          <w:rFonts w:asciiTheme="majorHAnsi" w:hAnsiTheme="majorHAnsi" w:cstheme="majorHAnsi"/>
        </w:rPr>
      </w:pPr>
      <w:r>
        <w:rPr>
          <w:rFonts w:asciiTheme="majorHAnsi" w:hAnsiTheme="majorHAnsi" w:cstheme="majorHAnsi"/>
        </w:rPr>
        <w:t>Large University Campuses</w:t>
      </w:r>
    </w:p>
    <w:p w:rsidR="001F60B1" w:rsidRDefault="001F60B1" w:rsidP="001F60B1">
      <w:pPr>
        <w:pStyle w:val="ListParagraph"/>
        <w:numPr>
          <w:ilvl w:val="1"/>
          <w:numId w:val="2"/>
        </w:numPr>
        <w:rPr>
          <w:rFonts w:asciiTheme="majorHAnsi" w:hAnsiTheme="majorHAnsi" w:cstheme="majorHAnsi"/>
        </w:rPr>
      </w:pPr>
      <w:r>
        <w:rPr>
          <w:rFonts w:asciiTheme="majorHAnsi" w:hAnsiTheme="majorHAnsi" w:cstheme="majorHAnsi"/>
        </w:rPr>
        <w:t>137 commercial buildings, with a focus on 50 office buildings as follows:</w:t>
      </w:r>
    </w:p>
    <w:p w:rsidR="001F60B1" w:rsidRDefault="001F60B1" w:rsidP="001F60B1">
      <w:pPr>
        <w:pStyle w:val="ListParagraph"/>
        <w:numPr>
          <w:ilvl w:val="1"/>
          <w:numId w:val="2"/>
        </w:numPr>
        <w:rPr>
          <w:rFonts w:asciiTheme="majorHAnsi" w:hAnsiTheme="majorHAnsi" w:cstheme="majorHAnsi"/>
        </w:rPr>
      </w:pPr>
      <w:r>
        <w:rPr>
          <w:rFonts w:asciiTheme="majorHAnsi" w:hAnsiTheme="majorHAnsi" w:cstheme="majorHAnsi"/>
        </w:rPr>
        <w:t>25 offices up to 50,000 sq. ft. and 25 offices over 50,000 sq. ft.</w:t>
      </w:r>
    </w:p>
    <w:p w:rsidR="001F60B1" w:rsidRPr="001F60B1" w:rsidRDefault="001F60B1" w:rsidP="001F60B1">
      <w:pPr>
        <w:pStyle w:val="ListParagraph"/>
        <w:numPr>
          <w:ilvl w:val="1"/>
          <w:numId w:val="2"/>
        </w:numPr>
        <w:rPr>
          <w:rFonts w:asciiTheme="majorHAnsi" w:hAnsiTheme="majorHAnsi" w:cstheme="majorHAnsi"/>
        </w:rPr>
      </w:pPr>
      <w:r>
        <w:rPr>
          <w:rFonts w:asciiTheme="majorHAnsi" w:hAnsiTheme="majorHAnsi" w:cstheme="majorHAnsi"/>
        </w:rPr>
        <w:t>25 residence halls, 25 education buildings, 25 laboratories, 12 hospitals</w:t>
      </w:r>
    </w:p>
    <w:p w:rsidR="00B75ADC" w:rsidRDefault="00D13B5E" w:rsidP="00D067D9">
      <w:pPr>
        <w:rPr>
          <w:rFonts w:asciiTheme="majorHAnsi" w:hAnsiTheme="majorHAnsi" w:cstheme="majorHAnsi"/>
        </w:rPr>
      </w:pPr>
      <w:r>
        <w:rPr>
          <w:rFonts w:asciiTheme="majorHAnsi" w:hAnsiTheme="majorHAnsi" w:cstheme="majorHAnsi"/>
        </w:rPr>
        <w:t>Large university complexes might benefit from this study on electrical feeder and</w:t>
      </w:r>
      <w:r w:rsidR="00FA1010">
        <w:rPr>
          <w:rFonts w:asciiTheme="majorHAnsi" w:hAnsiTheme="majorHAnsi" w:cstheme="majorHAnsi"/>
        </w:rPr>
        <w:t xml:space="preserve"> branch circuit loading because the results might help bring about changes in </w:t>
      </w:r>
      <w:r>
        <w:rPr>
          <w:rFonts w:asciiTheme="majorHAnsi" w:hAnsiTheme="majorHAnsi" w:cstheme="majorHAnsi"/>
        </w:rPr>
        <w:t xml:space="preserve">standards </w:t>
      </w:r>
      <w:r w:rsidR="00FA1010">
        <w:rPr>
          <w:rFonts w:asciiTheme="majorHAnsi" w:hAnsiTheme="majorHAnsi" w:cstheme="majorHAnsi"/>
        </w:rPr>
        <w:t xml:space="preserve">which </w:t>
      </w:r>
      <w:r>
        <w:rPr>
          <w:rFonts w:asciiTheme="majorHAnsi" w:hAnsiTheme="majorHAnsi" w:cstheme="majorHAnsi"/>
        </w:rPr>
        <w:t xml:space="preserve">might </w:t>
      </w:r>
      <w:r w:rsidR="00FA1010">
        <w:rPr>
          <w:rFonts w:asciiTheme="majorHAnsi" w:hAnsiTheme="majorHAnsi" w:cstheme="majorHAnsi"/>
        </w:rPr>
        <w:t xml:space="preserve">ultimately </w:t>
      </w:r>
      <w:r>
        <w:rPr>
          <w:rFonts w:asciiTheme="majorHAnsi" w:hAnsiTheme="majorHAnsi" w:cstheme="majorHAnsi"/>
        </w:rPr>
        <w:t>reduce capital investment in new construction</w:t>
      </w:r>
      <w:r w:rsidR="00FA1010">
        <w:rPr>
          <w:rFonts w:asciiTheme="majorHAnsi" w:hAnsiTheme="majorHAnsi" w:cstheme="majorHAnsi"/>
        </w:rPr>
        <w:t xml:space="preserve">. Results may also provide evidence for realizing </w:t>
      </w:r>
      <w:r>
        <w:rPr>
          <w:rFonts w:asciiTheme="majorHAnsi" w:hAnsiTheme="majorHAnsi" w:cstheme="majorHAnsi"/>
        </w:rPr>
        <w:t xml:space="preserve">energy savings through decisions to retrofit older, </w:t>
      </w:r>
      <w:proofErr w:type="spellStart"/>
      <w:r>
        <w:rPr>
          <w:rFonts w:asciiTheme="majorHAnsi" w:hAnsiTheme="majorHAnsi" w:cstheme="majorHAnsi"/>
        </w:rPr>
        <w:t>lossy</w:t>
      </w:r>
      <w:proofErr w:type="spellEnd"/>
      <w:r>
        <w:rPr>
          <w:rFonts w:asciiTheme="majorHAnsi" w:hAnsiTheme="majorHAnsi" w:cstheme="majorHAnsi"/>
        </w:rPr>
        <w:t xml:space="preserve"> equipment. Older equipment </w:t>
      </w:r>
      <w:r w:rsidR="00FA1010">
        <w:rPr>
          <w:rFonts w:asciiTheme="majorHAnsi" w:hAnsiTheme="majorHAnsi" w:cstheme="majorHAnsi"/>
        </w:rPr>
        <w:t xml:space="preserve">also </w:t>
      </w:r>
      <w:r>
        <w:rPr>
          <w:rFonts w:asciiTheme="majorHAnsi" w:hAnsiTheme="majorHAnsi" w:cstheme="majorHAnsi"/>
        </w:rPr>
        <w:t>has a higher probability fail</w:t>
      </w:r>
      <w:r w:rsidR="0077713E">
        <w:rPr>
          <w:rFonts w:asciiTheme="majorHAnsi" w:hAnsiTheme="majorHAnsi" w:cstheme="majorHAnsi"/>
        </w:rPr>
        <w:t>ing,</w:t>
      </w:r>
      <w:r>
        <w:rPr>
          <w:rFonts w:asciiTheme="majorHAnsi" w:hAnsiTheme="majorHAnsi" w:cstheme="majorHAnsi"/>
        </w:rPr>
        <w:t xml:space="preserve"> </w:t>
      </w:r>
      <w:r w:rsidR="0077713E">
        <w:rPr>
          <w:rFonts w:asciiTheme="majorHAnsi" w:hAnsiTheme="majorHAnsi" w:cstheme="majorHAnsi"/>
        </w:rPr>
        <w:t>i</w:t>
      </w:r>
      <w:r>
        <w:rPr>
          <w:rFonts w:asciiTheme="majorHAnsi" w:hAnsiTheme="majorHAnsi" w:cstheme="majorHAnsi"/>
        </w:rPr>
        <w:t>nterrupt</w:t>
      </w:r>
      <w:r w:rsidR="0077713E">
        <w:rPr>
          <w:rFonts w:asciiTheme="majorHAnsi" w:hAnsiTheme="majorHAnsi" w:cstheme="majorHAnsi"/>
        </w:rPr>
        <w:t>ing</w:t>
      </w:r>
      <w:r>
        <w:rPr>
          <w:rFonts w:asciiTheme="majorHAnsi" w:hAnsiTheme="majorHAnsi" w:cstheme="majorHAnsi"/>
        </w:rPr>
        <w:t xml:space="preserve"> service</w:t>
      </w:r>
      <w:r w:rsidR="0077713E">
        <w:rPr>
          <w:rFonts w:asciiTheme="majorHAnsi" w:hAnsiTheme="majorHAnsi" w:cstheme="majorHAnsi"/>
        </w:rPr>
        <w:t>, and even starting fire</w:t>
      </w:r>
      <w:r>
        <w:rPr>
          <w:rFonts w:asciiTheme="majorHAnsi" w:hAnsiTheme="majorHAnsi" w:cstheme="majorHAnsi"/>
        </w:rPr>
        <w:t xml:space="preserve">; </w:t>
      </w:r>
      <w:r w:rsidR="00FA1010">
        <w:rPr>
          <w:rFonts w:asciiTheme="majorHAnsi" w:hAnsiTheme="majorHAnsi" w:cstheme="majorHAnsi"/>
        </w:rPr>
        <w:t xml:space="preserve">furthermore, </w:t>
      </w:r>
      <w:r>
        <w:rPr>
          <w:rFonts w:asciiTheme="majorHAnsi" w:hAnsiTheme="majorHAnsi" w:cstheme="majorHAnsi"/>
        </w:rPr>
        <w:t>it</w:t>
      </w:r>
      <w:r w:rsidR="0077713E">
        <w:rPr>
          <w:rFonts w:asciiTheme="majorHAnsi" w:hAnsiTheme="majorHAnsi" w:cstheme="majorHAnsi"/>
        </w:rPr>
        <w:t xml:space="preserve"> is </w:t>
      </w:r>
      <w:r>
        <w:rPr>
          <w:rFonts w:asciiTheme="majorHAnsi" w:hAnsiTheme="majorHAnsi" w:cstheme="majorHAnsi"/>
        </w:rPr>
        <w:t xml:space="preserve">more likely to pose as an electrical hazard not only to maintenance workers but also to </w:t>
      </w:r>
      <w:r w:rsidR="0077713E">
        <w:rPr>
          <w:rFonts w:asciiTheme="majorHAnsi" w:hAnsiTheme="majorHAnsi" w:cstheme="majorHAnsi"/>
        </w:rPr>
        <w:t>end users</w:t>
      </w:r>
      <w:r w:rsidR="00FA1010">
        <w:rPr>
          <w:rFonts w:asciiTheme="majorHAnsi" w:hAnsiTheme="majorHAnsi" w:cstheme="majorHAnsi"/>
        </w:rPr>
        <w:t>, including students</w:t>
      </w:r>
      <w:r w:rsidR="0077713E">
        <w:rPr>
          <w:rFonts w:asciiTheme="majorHAnsi" w:hAnsiTheme="majorHAnsi" w:cstheme="majorHAnsi"/>
        </w:rPr>
        <w:t xml:space="preserve">. </w:t>
      </w:r>
      <w:r>
        <w:rPr>
          <w:rFonts w:asciiTheme="majorHAnsi" w:hAnsiTheme="majorHAnsi" w:cstheme="majorHAnsi"/>
        </w:rPr>
        <w:t xml:space="preserve">New equipment </w:t>
      </w:r>
      <w:r w:rsidR="0077713E">
        <w:rPr>
          <w:rFonts w:asciiTheme="majorHAnsi" w:hAnsiTheme="majorHAnsi" w:cstheme="majorHAnsi"/>
        </w:rPr>
        <w:t>may also bring additional</w:t>
      </w:r>
      <w:r>
        <w:rPr>
          <w:rFonts w:asciiTheme="majorHAnsi" w:hAnsiTheme="majorHAnsi" w:cstheme="majorHAnsi"/>
        </w:rPr>
        <w:t xml:space="preserve"> benefits such as improved lighting quality. </w:t>
      </w:r>
    </w:p>
    <w:p w:rsidR="00FA1010" w:rsidRPr="00FA1010" w:rsidRDefault="00FA1010" w:rsidP="00D067D9">
      <w:pPr>
        <w:rPr>
          <w:rFonts w:asciiTheme="majorHAnsi" w:hAnsiTheme="majorHAnsi" w:cstheme="majorHAnsi"/>
          <w:b/>
        </w:rPr>
      </w:pPr>
      <w:r w:rsidRPr="00FA1010">
        <w:rPr>
          <w:rFonts w:asciiTheme="majorHAnsi" w:hAnsiTheme="majorHAnsi" w:cstheme="majorHAnsi"/>
          <w:b/>
        </w:rPr>
        <w:t>Building Selection Option 3</w:t>
      </w:r>
    </w:p>
    <w:p w:rsidR="00D067D9" w:rsidRDefault="0077713E" w:rsidP="0077713E">
      <w:pPr>
        <w:pStyle w:val="ListParagraph"/>
        <w:numPr>
          <w:ilvl w:val="0"/>
          <w:numId w:val="2"/>
        </w:numPr>
        <w:rPr>
          <w:rFonts w:asciiTheme="majorHAnsi" w:hAnsiTheme="majorHAnsi" w:cstheme="majorHAnsi"/>
        </w:rPr>
      </w:pPr>
      <w:r>
        <w:rPr>
          <w:rFonts w:asciiTheme="majorHAnsi" w:hAnsiTheme="majorHAnsi" w:cstheme="majorHAnsi"/>
        </w:rPr>
        <w:lastRenderedPageBreak/>
        <w:t>Fifty Commercial Office Buildings</w:t>
      </w:r>
    </w:p>
    <w:p w:rsidR="00A73E60" w:rsidRDefault="00A73E60" w:rsidP="0077713E">
      <w:pPr>
        <w:pStyle w:val="ListParagraph"/>
        <w:numPr>
          <w:ilvl w:val="1"/>
          <w:numId w:val="2"/>
        </w:numPr>
        <w:rPr>
          <w:rFonts w:asciiTheme="majorHAnsi" w:hAnsiTheme="majorHAnsi" w:cstheme="majorHAnsi"/>
        </w:rPr>
      </w:pPr>
      <w:r>
        <w:rPr>
          <w:rFonts w:asciiTheme="majorHAnsi" w:hAnsiTheme="majorHAnsi" w:cstheme="majorHAnsi"/>
        </w:rPr>
        <w:t>25 offices up to 50,000 sq. ft. and 25 offices over 50,000 sq. ft.</w:t>
      </w:r>
    </w:p>
    <w:p w:rsidR="00A73E60" w:rsidRDefault="00A73E60" w:rsidP="00A73E60">
      <w:pPr>
        <w:pStyle w:val="ListParagraph"/>
        <w:numPr>
          <w:ilvl w:val="1"/>
          <w:numId w:val="2"/>
        </w:numPr>
        <w:rPr>
          <w:rFonts w:asciiTheme="majorHAnsi" w:hAnsiTheme="majorHAnsi" w:cstheme="majorHAnsi"/>
        </w:rPr>
      </w:pPr>
      <w:r>
        <w:rPr>
          <w:rFonts w:asciiTheme="majorHAnsi" w:hAnsiTheme="majorHAnsi" w:cstheme="majorHAnsi"/>
        </w:rPr>
        <w:t xml:space="preserve">25 offices under 25,000 </w:t>
      </w:r>
      <w:r w:rsidR="00FA1010">
        <w:rPr>
          <w:rFonts w:asciiTheme="majorHAnsi" w:hAnsiTheme="majorHAnsi" w:cstheme="majorHAnsi"/>
        </w:rPr>
        <w:t>sq. ft. ideally equally divided as three groups</w:t>
      </w:r>
      <w:r>
        <w:rPr>
          <w:rFonts w:asciiTheme="majorHAnsi" w:hAnsiTheme="majorHAnsi" w:cstheme="majorHAnsi"/>
        </w:rPr>
        <w:t>: 1,000-10,000 sq. ft.,</w:t>
      </w:r>
      <w:r w:rsidR="00FA1010">
        <w:rPr>
          <w:rFonts w:asciiTheme="majorHAnsi" w:hAnsiTheme="majorHAnsi" w:cstheme="majorHAnsi"/>
        </w:rPr>
        <w:t xml:space="preserve"> </w:t>
      </w:r>
      <w:r w:rsidRPr="00A73E60">
        <w:rPr>
          <w:rFonts w:asciiTheme="majorHAnsi" w:hAnsiTheme="majorHAnsi" w:cstheme="majorHAnsi"/>
        </w:rPr>
        <w:t>10,000-25,000 sq. ft</w:t>
      </w:r>
      <w:r>
        <w:rPr>
          <w:rFonts w:asciiTheme="majorHAnsi" w:hAnsiTheme="majorHAnsi" w:cstheme="majorHAnsi"/>
        </w:rPr>
        <w:t>.,</w:t>
      </w:r>
      <w:r w:rsidRPr="00A73E60">
        <w:rPr>
          <w:rFonts w:asciiTheme="majorHAnsi" w:hAnsiTheme="majorHAnsi" w:cstheme="majorHAnsi"/>
        </w:rPr>
        <w:t xml:space="preserve"> and 25</w:t>
      </w:r>
      <w:r>
        <w:rPr>
          <w:rFonts w:asciiTheme="majorHAnsi" w:hAnsiTheme="majorHAnsi" w:cstheme="majorHAnsi"/>
        </w:rPr>
        <w:t>,000</w:t>
      </w:r>
      <w:r w:rsidRPr="00A73E60">
        <w:rPr>
          <w:rFonts w:asciiTheme="majorHAnsi" w:hAnsiTheme="majorHAnsi" w:cstheme="majorHAnsi"/>
        </w:rPr>
        <w:t>-50</w:t>
      </w:r>
      <w:r>
        <w:rPr>
          <w:rFonts w:asciiTheme="majorHAnsi" w:hAnsiTheme="majorHAnsi" w:cstheme="majorHAnsi"/>
        </w:rPr>
        <w:t>,000 sq. ft.</w:t>
      </w:r>
    </w:p>
    <w:p w:rsidR="0077713E" w:rsidRDefault="00F215CE" w:rsidP="00A73E60">
      <w:pPr>
        <w:pStyle w:val="ListParagraph"/>
        <w:numPr>
          <w:ilvl w:val="1"/>
          <w:numId w:val="2"/>
        </w:numPr>
        <w:rPr>
          <w:rFonts w:asciiTheme="majorHAnsi" w:hAnsiTheme="majorHAnsi" w:cstheme="majorHAnsi"/>
        </w:rPr>
      </w:pPr>
      <w:r>
        <w:rPr>
          <w:rFonts w:asciiTheme="majorHAnsi" w:hAnsiTheme="majorHAnsi" w:cstheme="majorHAnsi"/>
        </w:rPr>
        <w:t>For 25 offices over 50,000 sq. ft., ideally</w:t>
      </w:r>
      <w:r w:rsidR="00A73E60">
        <w:rPr>
          <w:rFonts w:asciiTheme="majorHAnsi" w:hAnsiTheme="majorHAnsi" w:cstheme="majorHAnsi"/>
        </w:rPr>
        <w:t xml:space="preserve"> </w:t>
      </w:r>
      <w:r w:rsidR="00DB3B22">
        <w:rPr>
          <w:rFonts w:asciiTheme="majorHAnsi" w:hAnsiTheme="majorHAnsi" w:cstheme="majorHAnsi"/>
        </w:rPr>
        <w:t>includ</w:t>
      </w:r>
      <w:r w:rsidR="00FA1010">
        <w:rPr>
          <w:rFonts w:asciiTheme="majorHAnsi" w:hAnsiTheme="majorHAnsi" w:cstheme="majorHAnsi"/>
        </w:rPr>
        <w:t xml:space="preserve">e </w:t>
      </w:r>
      <w:r w:rsidR="00A73E60">
        <w:rPr>
          <w:rFonts w:asciiTheme="majorHAnsi" w:hAnsiTheme="majorHAnsi" w:cstheme="majorHAnsi"/>
        </w:rPr>
        <w:t>1</w:t>
      </w:r>
      <w:r w:rsidR="00DB3B22">
        <w:rPr>
          <w:rFonts w:asciiTheme="majorHAnsi" w:hAnsiTheme="majorHAnsi" w:cstheme="majorHAnsi"/>
        </w:rPr>
        <w:t>0</w:t>
      </w:r>
      <w:r w:rsidR="00A73E60">
        <w:rPr>
          <w:rFonts w:asciiTheme="majorHAnsi" w:hAnsiTheme="majorHAnsi" w:cstheme="majorHAnsi"/>
        </w:rPr>
        <w:t xml:space="preserve"> offices over 100,000 sq. ft. and 5 over 200,000 sq. ft.</w:t>
      </w:r>
      <w:r w:rsidR="0077713E" w:rsidRPr="00A73E60">
        <w:rPr>
          <w:rFonts w:asciiTheme="majorHAnsi" w:hAnsiTheme="majorHAnsi" w:cstheme="majorHAnsi"/>
        </w:rPr>
        <w:t xml:space="preserve"> </w:t>
      </w:r>
    </w:p>
    <w:p w:rsidR="00A76862" w:rsidRPr="00A76862" w:rsidRDefault="00A76862" w:rsidP="00A76862">
      <w:pPr>
        <w:rPr>
          <w:rFonts w:asciiTheme="majorHAnsi" w:hAnsiTheme="majorHAnsi" w:cstheme="majorHAnsi"/>
        </w:rPr>
      </w:pPr>
      <w:r>
        <w:rPr>
          <w:rFonts w:asciiTheme="majorHAnsi" w:hAnsiTheme="majorHAnsi" w:cstheme="majorHAnsi"/>
        </w:rPr>
        <w:t>The Request for Proposal issued by for the Fire Protection Research Foundation stated the initial focus was commercial office occupancies.</w:t>
      </w:r>
    </w:p>
    <w:p w:rsidR="00FA1010" w:rsidRDefault="00FA1010" w:rsidP="0073184C">
      <w:pPr>
        <w:rPr>
          <w:rFonts w:asciiTheme="majorHAnsi" w:hAnsiTheme="majorHAnsi" w:cstheme="majorHAnsi"/>
          <w:b/>
        </w:rPr>
      </w:pPr>
    </w:p>
    <w:p w:rsidR="0073184C" w:rsidRPr="00F215CE" w:rsidRDefault="00301B01" w:rsidP="0073184C">
      <w:pPr>
        <w:rPr>
          <w:rFonts w:asciiTheme="majorHAnsi" w:hAnsiTheme="majorHAnsi" w:cstheme="majorHAnsi"/>
          <w:b/>
        </w:rPr>
      </w:pPr>
      <w:r w:rsidRPr="00F215CE">
        <w:rPr>
          <w:rFonts w:asciiTheme="majorHAnsi" w:hAnsiTheme="majorHAnsi" w:cstheme="majorHAnsi"/>
          <w:b/>
        </w:rPr>
        <w:t>Geographic</w:t>
      </w:r>
      <w:r w:rsidR="0073184C" w:rsidRPr="00F215CE">
        <w:rPr>
          <w:rFonts w:asciiTheme="majorHAnsi" w:hAnsiTheme="majorHAnsi" w:cstheme="majorHAnsi"/>
          <w:b/>
        </w:rPr>
        <w:t xml:space="preserve"> Selection</w:t>
      </w:r>
    </w:p>
    <w:p w:rsidR="00301B01" w:rsidRDefault="005A1EA0" w:rsidP="0073184C">
      <w:pPr>
        <w:rPr>
          <w:rFonts w:asciiTheme="majorHAnsi" w:hAnsiTheme="majorHAnsi" w:cstheme="majorHAnsi"/>
        </w:rPr>
      </w:pPr>
      <w:r>
        <w:rPr>
          <w:rFonts w:asciiTheme="majorHAnsi" w:hAnsiTheme="majorHAnsi" w:cstheme="majorHAnsi"/>
        </w:rPr>
        <w:t>The monitoring sites should be selected to represent different climate zones, time zones, and Census regions. Many aspects of climate can influence daily power requirements, including: temperature, humidity, precipitation, cloud cover, and winds. In offices conducting interstate business, time zones might influence operating hours. In different regions of the country, building construction and enginee</w:t>
      </w:r>
      <w:r w:rsidR="00301B01">
        <w:rPr>
          <w:rFonts w:asciiTheme="majorHAnsi" w:hAnsiTheme="majorHAnsi" w:cstheme="majorHAnsi"/>
        </w:rPr>
        <w:t>ring design practices may differ to due</w:t>
      </w:r>
      <w:r>
        <w:rPr>
          <w:rFonts w:asciiTheme="majorHAnsi" w:hAnsiTheme="majorHAnsi" w:cstheme="majorHAnsi"/>
        </w:rPr>
        <w:t xml:space="preserve"> </w:t>
      </w:r>
      <w:r w:rsidR="00301B01">
        <w:rPr>
          <w:rFonts w:asciiTheme="majorHAnsi" w:hAnsiTheme="majorHAnsi" w:cstheme="majorHAnsi"/>
        </w:rPr>
        <w:t>c</w:t>
      </w:r>
      <w:r>
        <w:rPr>
          <w:rFonts w:asciiTheme="majorHAnsi" w:hAnsiTheme="majorHAnsi" w:cstheme="majorHAnsi"/>
        </w:rPr>
        <w:t>limate</w:t>
      </w:r>
      <w:r w:rsidR="00301B01">
        <w:rPr>
          <w:rFonts w:asciiTheme="majorHAnsi" w:hAnsiTheme="majorHAnsi" w:cstheme="majorHAnsi"/>
        </w:rPr>
        <w:t xml:space="preserve"> differences and local building and energy conversation codes.</w:t>
      </w:r>
    </w:p>
    <w:p w:rsidR="00D22151" w:rsidRDefault="00D22151">
      <w:r>
        <w:t xml:space="preserve">Site </w:t>
      </w:r>
      <w:r w:rsidR="00C405A3">
        <w:t>l</w:t>
      </w:r>
      <w:r>
        <w:t xml:space="preserve">ocations should be selected to represent each IECC climate zone shown in Figure 1, but a higher percentage of monitoring sites should be </w:t>
      </w:r>
      <w:r w:rsidR="000C26B3">
        <w:t>concentrated</w:t>
      </w:r>
      <w:r>
        <w:t xml:space="preserve"> in zones with higher population densities</w:t>
      </w:r>
      <w:r w:rsidR="00F22117">
        <w:t xml:space="preserve"> which also have greater building densities</w:t>
      </w:r>
      <w:r>
        <w:t>. A population density map produced by the United States Census Bureau has been attached as Appendix A.</w:t>
      </w:r>
    </w:p>
    <w:p w:rsidR="00D22151" w:rsidRDefault="00B44C3C">
      <w:r>
        <w:t xml:space="preserve">The distribution of </w:t>
      </w:r>
      <w:r w:rsidR="003A0A33">
        <w:t>site selection</w:t>
      </w:r>
      <w:r>
        <w:t xml:space="preserve"> is suggested in Table </w:t>
      </w:r>
      <w:r w:rsidR="003A0A33">
        <w:t>2</w:t>
      </w:r>
      <w:r>
        <w:t>, modeling a study focusing on university campuses</w:t>
      </w:r>
      <w:r w:rsidR="000C26B3">
        <w:t xml:space="preserve"> (Building Selection Option 2)</w:t>
      </w:r>
      <w:r>
        <w:t xml:space="preserve">. </w:t>
      </w:r>
      <w:r w:rsidR="003A0A33">
        <w:t xml:space="preserve">If </w:t>
      </w:r>
      <w:r w:rsidR="000C26B3">
        <w:t>all major c</w:t>
      </w:r>
      <w:r>
        <w:t>ommercial building</w:t>
      </w:r>
      <w:r w:rsidR="000C26B3">
        <w:t xml:space="preserve"> types (Building Selection Option 1) is selected for study</w:t>
      </w:r>
      <w:r>
        <w:t>, geographic distribution for each b</w:t>
      </w:r>
      <w:r w:rsidR="003A0A33">
        <w:t>uilding type should be similar to the distribution for hospital selection in Table 2. If the commercial office building study</w:t>
      </w:r>
      <w:r w:rsidR="000C26B3">
        <w:t xml:space="preserve"> (Building Selection Option 3)</w:t>
      </w:r>
      <w:r w:rsidR="003A0A33">
        <w:t xml:space="preserve"> is conducted, office buildings should be selected as in Table 2. Ideally site selection for the two </w:t>
      </w:r>
      <w:r w:rsidR="000C26B3">
        <w:t xml:space="preserve">main </w:t>
      </w:r>
      <w:r w:rsidR="003A0A33">
        <w:t xml:space="preserve">groups </w:t>
      </w:r>
      <w:r w:rsidR="000C26B3">
        <w:t>of</w:t>
      </w:r>
      <w:r w:rsidR="003A0A33">
        <w:t xml:space="preserve"> </w:t>
      </w:r>
      <w:r w:rsidR="000C26B3">
        <w:t xml:space="preserve">25 </w:t>
      </w:r>
      <w:r w:rsidR="003A0A33">
        <w:t>office buildings</w:t>
      </w:r>
      <w:r w:rsidR="000C26B3">
        <w:t xml:space="preserve"> (based on size)</w:t>
      </w:r>
      <w:r w:rsidR="003A0A33">
        <w:t xml:space="preserve"> would be similar to the distribution for residence halls, education, or laboratories.</w:t>
      </w:r>
    </w:p>
    <w:p w:rsidR="00D22151" w:rsidRDefault="00D22151" w:rsidP="00D22151">
      <w:pPr>
        <w:jc w:val="center"/>
      </w:pPr>
      <w:r w:rsidRPr="0075459A">
        <w:rPr>
          <w:noProof/>
        </w:rPr>
        <w:lastRenderedPageBreak/>
        <w:drawing>
          <wp:inline distT="0" distB="0" distL="0" distR="0" wp14:anchorId="2C416438" wp14:editId="63AE933B">
            <wp:extent cx="5356297" cy="356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187" b="3585"/>
                    <a:stretch/>
                  </pic:blipFill>
                  <pic:spPr bwMode="auto">
                    <a:xfrm>
                      <a:off x="0" y="0"/>
                      <a:ext cx="5394473" cy="3591577"/>
                    </a:xfrm>
                    <a:prstGeom prst="rect">
                      <a:avLst/>
                    </a:prstGeom>
                    <a:noFill/>
                    <a:ln>
                      <a:noFill/>
                    </a:ln>
                    <a:extLst>
                      <a:ext uri="{53640926-AAD7-44D8-BBD7-CCE9431645EC}">
                        <a14:shadowObscured xmlns:a14="http://schemas.microsoft.com/office/drawing/2010/main"/>
                      </a:ext>
                    </a:extLst>
                  </pic:spPr>
                </pic:pic>
              </a:graphicData>
            </a:graphic>
          </wp:inline>
        </w:drawing>
      </w:r>
    </w:p>
    <w:p w:rsidR="000C26B3" w:rsidRDefault="000C26B3" w:rsidP="00D22151">
      <w:pPr>
        <w:jc w:val="center"/>
      </w:pPr>
      <w:r>
        <w:t>Figure 1</w:t>
      </w:r>
    </w:p>
    <w:p w:rsidR="0073184C" w:rsidRDefault="0073184C" w:rsidP="00D22151">
      <w:pPr>
        <w:jc w:val="center"/>
      </w:pPr>
    </w:p>
    <w:p w:rsidR="00D22151" w:rsidRDefault="00D22151" w:rsidP="0073184C">
      <w:pPr>
        <w:jc w:val="center"/>
      </w:pPr>
      <w:r>
        <w:t xml:space="preserve">Table </w:t>
      </w:r>
      <w:r w:rsidR="003A0A33">
        <w:t>2</w:t>
      </w:r>
      <w:r>
        <w:t xml:space="preserve">. </w:t>
      </w:r>
      <w:r w:rsidR="00043DC6">
        <w:t xml:space="preserve">Geographic Selection </w:t>
      </w:r>
      <w:r w:rsidR="000C26B3">
        <w:t>and Number of</w:t>
      </w:r>
      <w:r w:rsidR="00043DC6">
        <w:t xml:space="preserve"> Monitoring Sites</w:t>
      </w:r>
    </w:p>
    <w:tbl>
      <w:tblPr>
        <w:tblStyle w:val="ListTable4-Accent1"/>
        <w:tblW w:w="0" w:type="auto"/>
        <w:tblLayout w:type="fixed"/>
        <w:tblLook w:val="04A0" w:firstRow="1" w:lastRow="0" w:firstColumn="1" w:lastColumn="0" w:noHBand="0" w:noVBand="1"/>
      </w:tblPr>
      <w:tblGrid>
        <w:gridCol w:w="535"/>
        <w:gridCol w:w="900"/>
        <w:gridCol w:w="1170"/>
        <w:gridCol w:w="1620"/>
        <w:gridCol w:w="1025"/>
        <w:gridCol w:w="1025"/>
        <w:gridCol w:w="1025"/>
        <w:gridCol w:w="1025"/>
        <w:gridCol w:w="1025"/>
      </w:tblGrid>
      <w:tr w:rsidR="006058D2" w:rsidTr="00731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73184C">
            <w:pPr>
              <w:jc w:val="center"/>
            </w:pPr>
          </w:p>
        </w:tc>
        <w:tc>
          <w:tcPr>
            <w:tcW w:w="900" w:type="dxa"/>
          </w:tcPr>
          <w:p w:rsidR="006058D2" w:rsidRDefault="000C26B3" w:rsidP="0073184C">
            <w:pPr>
              <w:jc w:val="center"/>
              <w:cnfStyle w:val="100000000000" w:firstRow="1" w:lastRow="0" w:firstColumn="0" w:lastColumn="0" w:oddVBand="0" w:evenVBand="0" w:oddHBand="0" w:evenHBand="0" w:firstRowFirstColumn="0" w:firstRowLastColumn="0" w:lastRowFirstColumn="0" w:lastRowLastColumn="0"/>
            </w:pPr>
            <w:r>
              <w:t>13</w:t>
            </w:r>
          </w:p>
          <w:p w:rsidR="00043DC6" w:rsidRDefault="006058D2" w:rsidP="0073184C">
            <w:pPr>
              <w:jc w:val="center"/>
              <w:cnfStyle w:val="100000000000" w:firstRow="1" w:lastRow="0" w:firstColumn="0" w:lastColumn="0" w:oddVBand="0" w:evenVBand="0" w:oddHBand="0" w:evenHBand="0" w:firstRowFirstColumn="0" w:firstRowLastColumn="0" w:lastRowFirstColumn="0" w:lastRowLastColumn="0"/>
            </w:pPr>
            <w:r>
              <w:t>IE</w:t>
            </w:r>
            <w:r w:rsidR="00043DC6">
              <w:t>CC</w:t>
            </w:r>
          </w:p>
          <w:p w:rsidR="00043DC6" w:rsidRDefault="00043DC6" w:rsidP="0073184C">
            <w:pPr>
              <w:jc w:val="center"/>
              <w:cnfStyle w:val="100000000000" w:firstRow="1" w:lastRow="0" w:firstColumn="0" w:lastColumn="0" w:oddVBand="0" w:evenVBand="0" w:oddHBand="0" w:evenHBand="0" w:firstRowFirstColumn="0" w:firstRowLastColumn="0" w:lastRowFirstColumn="0" w:lastRowLastColumn="0"/>
            </w:pPr>
            <w:r>
              <w:t>Zones</w:t>
            </w:r>
          </w:p>
        </w:tc>
        <w:tc>
          <w:tcPr>
            <w:tcW w:w="1170" w:type="dxa"/>
          </w:tcPr>
          <w:p w:rsidR="00043DC6" w:rsidRDefault="000C26B3" w:rsidP="0073184C">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3 DOE</w:t>
            </w:r>
          </w:p>
          <w:p w:rsidR="00043DC6" w:rsidRDefault="00043DC6" w:rsidP="0073184C">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Added</w:t>
            </w:r>
          </w:p>
          <w:p w:rsidR="00043DC6" w:rsidRDefault="00043DC6" w:rsidP="000C26B3">
            <w:pPr>
              <w:jc w:val="left"/>
              <w:cnfStyle w:val="100000000000" w:firstRow="1" w:lastRow="0" w:firstColumn="0" w:lastColumn="0" w:oddVBand="0" w:evenVBand="0" w:oddHBand="0" w:evenHBand="0" w:firstRowFirstColumn="0" w:firstRowLastColumn="0" w:lastRowFirstColumn="0" w:lastRowLastColumn="0"/>
              <w:rPr>
                <w:rFonts w:cstheme="minorHAnsi"/>
              </w:rPr>
            </w:pPr>
          </w:p>
        </w:tc>
        <w:tc>
          <w:tcPr>
            <w:tcW w:w="1620" w:type="dxa"/>
          </w:tcPr>
          <w:p w:rsidR="006058D2" w:rsidRDefault="006058D2" w:rsidP="0073184C">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Most</w:t>
            </w:r>
          </w:p>
          <w:p w:rsidR="00043DC6" w:rsidRDefault="006058D2" w:rsidP="0073184C">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Populated</w:t>
            </w:r>
          </w:p>
          <w:p w:rsidR="00043DC6" w:rsidRDefault="00043DC6" w:rsidP="0073184C">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City</w:t>
            </w:r>
          </w:p>
        </w:tc>
        <w:tc>
          <w:tcPr>
            <w:tcW w:w="1025" w:type="dxa"/>
          </w:tcPr>
          <w:p w:rsidR="00043DC6" w:rsidRDefault="00043DC6" w:rsidP="0073184C">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Office</w:t>
            </w:r>
          </w:p>
        </w:tc>
        <w:tc>
          <w:tcPr>
            <w:tcW w:w="1025" w:type="dxa"/>
            <w:tcBorders>
              <w:bottom w:val="single" w:sz="8" w:space="0" w:color="auto"/>
            </w:tcBorders>
          </w:tcPr>
          <w:p w:rsidR="00043DC6" w:rsidRDefault="00043DC6" w:rsidP="0073184C">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Pr>
                <w:rFonts w:cstheme="minorHAnsi"/>
              </w:rPr>
              <w:t>Resi</w:t>
            </w:r>
            <w:r w:rsidR="0073184C">
              <w:rPr>
                <w:rFonts w:cstheme="minorHAnsi"/>
              </w:rPr>
              <w:t>-</w:t>
            </w:r>
            <w:r>
              <w:rPr>
                <w:rFonts w:cstheme="minorHAnsi"/>
              </w:rPr>
              <w:t>dence</w:t>
            </w:r>
            <w:proofErr w:type="spellEnd"/>
            <w:r>
              <w:rPr>
                <w:rFonts w:cstheme="minorHAnsi"/>
              </w:rPr>
              <w:t xml:space="preserve"> Halls</w:t>
            </w:r>
          </w:p>
        </w:tc>
        <w:tc>
          <w:tcPr>
            <w:tcW w:w="1025" w:type="dxa"/>
            <w:tcBorders>
              <w:bottom w:val="single" w:sz="8" w:space="0" w:color="auto"/>
            </w:tcBorders>
          </w:tcPr>
          <w:p w:rsidR="00043DC6" w:rsidRDefault="00043DC6" w:rsidP="0073184C">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Edu</w:t>
            </w:r>
            <w:r w:rsidR="0073184C">
              <w:rPr>
                <w:rFonts w:cstheme="minorHAnsi"/>
              </w:rPr>
              <w:t>-</w:t>
            </w:r>
            <w:r>
              <w:rPr>
                <w:rFonts w:cstheme="minorHAnsi"/>
              </w:rPr>
              <w:t>cation</w:t>
            </w:r>
          </w:p>
          <w:p w:rsidR="006058D2" w:rsidRDefault="006058D2" w:rsidP="0073184C">
            <w:pPr>
              <w:jc w:val="center"/>
              <w:cnfStyle w:val="100000000000" w:firstRow="1" w:lastRow="0" w:firstColumn="0" w:lastColumn="0" w:oddVBand="0" w:evenVBand="0" w:oddHBand="0" w:evenHBand="0" w:firstRowFirstColumn="0" w:firstRowLastColumn="0" w:lastRowFirstColumn="0" w:lastRowLastColumn="0"/>
              <w:rPr>
                <w:rFonts w:cstheme="minorHAnsi"/>
              </w:rPr>
            </w:pPr>
          </w:p>
        </w:tc>
        <w:tc>
          <w:tcPr>
            <w:tcW w:w="1025" w:type="dxa"/>
            <w:tcBorders>
              <w:bottom w:val="single" w:sz="8" w:space="0" w:color="auto"/>
            </w:tcBorders>
          </w:tcPr>
          <w:p w:rsidR="00043DC6" w:rsidRDefault="00043DC6" w:rsidP="0073184C">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Labs</w:t>
            </w:r>
          </w:p>
        </w:tc>
        <w:tc>
          <w:tcPr>
            <w:tcW w:w="1025" w:type="dxa"/>
            <w:tcBorders>
              <w:bottom w:val="single" w:sz="8" w:space="0" w:color="auto"/>
            </w:tcBorders>
          </w:tcPr>
          <w:p w:rsidR="00043DC6" w:rsidRDefault="00043DC6" w:rsidP="0073184C">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Hos</w:t>
            </w:r>
            <w:r w:rsidR="0073184C">
              <w:rPr>
                <w:rFonts w:cstheme="minorHAnsi"/>
              </w:rPr>
              <w:t>-</w:t>
            </w:r>
            <w:proofErr w:type="spellStart"/>
            <w:r>
              <w:rPr>
                <w:rFonts w:cstheme="minorHAnsi"/>
              </w:rPr>
              <w:t>pitals</w:t>
            </w:r>
            <w:proofErr w:type="spellEnd"/>
          </w:p>
        </w:tc>
      </w:tr>
      <w:tr w:rsidR="006058D2" w:rsidTr="00731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1</w:t>
            </w:r>
          </w:p>
        </w:tc>
        <w:tc>
          <w:tcPr>
            <w:tcW w:w="90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pPr>
            <w:r>
              <w:t>1</w:t>
            </w:r>
          </w:p>
        </w:tc>
        <w:tc>
          <w:tcPr>
            <w:tcW w:w="117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620" w:type="dxa"/>
          </w:tcPr>
          <w:p w:rsidR="00043DC6" w:rsidRDefault="00043DC6" w:rsidP="00043DC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Miami</w:t>
            </w:r>
          </w:p>
        </w:tc>
        <w:tc>
          <w:tcPr>
            <w:tcW w:w="1025" w:type="dxa"/>
            <w:tcBorders>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025" w:type="dxa"/>
            <w:tcBorders>
              <w:top w:val="single" w:sz="8" w:space="0" w:color="auto"/>
              <w:right w:val="single" w:sz="8" w:space="0" w:color="auto"/>
            </w:tcBorders>
          </w:tcPr>
          <w:p w:rsidR="00043DC6" w:rsidRPr="006B62A3" w:rsidRDefault="00043DC6" w:rsidP="00043DC6">
            <w:pPr>
              <w:jc w:val="center"/>
              <w:cnfStyle w:val="000000100000" w:firstRow="0" w:lastRow="0" w:firstColumn="0" w:lastColumn="0" w:oddVBand="0" w:evenVBand="0" w:oddHBand="1" w:evenHBand="0" w:firstRowFirstColumn="0" w:firstRowLastColumn="0" w:lastRowFirstColumn="0" w:lastRowLastColumn="0"/>
            </w:pPr>
          </w:p>
        </w:tc>
        <w:tc>
          <w:tcPr>
            <w:tcW w:w="1025" w:type="dxa"/>
            <w:tcBorders>
              <w:top w:val="single" w:sz="8" w:space="0" w:color="auto"/>
              <w:left w:val="single" w:sz="8" w:space="0" w:color="auto"/>
              <w:right w:val="single" w:sz="8" w:space="0" w:color="auto"/>
            </w:tcBorders>
          </w:tcPr>
          <w:p w:rsidR="00043DC6" w:rsidRPr="006B62A3" w:rsidRDefault="00043DC6" w:rsidP="00043DC6">
            <w:pPr>
              <w:jc w:val="center"/>
              <w:cnfStyle w:val="000000100000" w:firstRow="0" w:lastRow="0" w:firstColumn="0" w:lastColumn="0" w:oddVBand="0" w:evenVBand="0" w:oddHBand="1" w:evenHBand="0" w:firstRowFirstColumn="0" w:firstRowLastColumn="0" w:lastRowFirstColumn="0" w:lastRowLastColumn="0"/>
            </w:pPr>
          </w:p>
        </w:tc>
        <w:tc>
          <w:tcPr>
            <w:tcW w:w="1025" w:type="dxa"/>
            <w:tcBorders>
              <w:top w:val="single" w:sz="8" w:space="0" w:color="auto"/>
              <w:left w:val="single" w:sz="8" w:space="0" w:color="auto"/>
              <w:right w:val="single" w:sz="8" w:space="0" w:color="auto"/>
            </w:tcBorders>
          </w:tcPr>
          <w:p w:rsidR="00043DC6" w:rsidRDefault="00043DC6" w:rsidP="00043DC6">
            <w:pPr>
              <w:cnfStyle w:val="000000100000" w:firstRow="0" w:lastRow="0" w:firstColumn="0" w:lastColumn="0" w:oddVBand="0" w:evenVBand="0" w:oddHBand="1" w:evenHBand="0" w:firstRowFirstColumn="0" w:firstRowLastColumn="0" w:lastRowFirstColumn="0" w:lastRowLastColumn="0"/>
              <w:rPr>
                <w:rFonts w:cstheme="minorHAnsi"/>
              </w:rPr>
            </w:pPr>
          </w:p>
        </w:tc>
        <w:tc>
          <w:tcPr>
            <w:tcW w:w="1025" w:type="dxa"/>
            <w:tcBorders>
              <w:top w:val="single" w:sz="8" w:space="0" w:color="auto"/>
              <w:left w:val="single" w:sz="8" w:space="0" w:color="auto"/>
              <w:right w:val="single" w:sz="8" w:space="0" w:color="auto"/>
            </w:tcBorders>
          </w:tcPr>
          <w:p w:rsidR="00043DC6" w:rsidRDefault="00043DC6" w:rsidP="00043DC6">
            <w:pPr>
              <w:cnfStyle w:val="000000100000" w:firstRow="0" w:lastRow="0" w:firstColumn="0" w:lastColumn="0" w:oddVBand="0" w:evenVBand="0" w:oddHBand="1" w:evenHBand="0" w:firstRowFirstColumn="0" w:firstRowLastColumn="0" w:lastRowFirstColumn="0" w:lastRowLastColumn="0"/>
              <w:rPr>
                <w:rFonts w:cstheme="minorHAnsi"/>
              </w:rPr>
            </w:pPr>
          </w:p>
        </w:tc>
      </w:tr>
      <w:tr w:rsidR="006058D2" w:rsidTr="0073184C">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2</w:t>
            </w:r>
          </w:p>
        </w:tc>
        <w:tc>
          <w:tcPr>
            <w:tcW w:w="90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pPr>
            <w:r>
              <w:t>2A</w:t>
            </w:r>
          </w:p>
        </w:tc>
        <w:tc>
          <w:tcPr>
            <w:tcW w:w="117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20" w:type="dxa"/>
          </w:tcPr>
          <w:p w:rsidR="00043DC6" w:rsidRDefault="00043DC6" w:rsidP="00043D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Houston</w:t>
            </w:r>
          </w:p>
        </w:tc>
        <w:tc>
          <w:tcPr>
            <w:tcW w:w="1025" w:type="dxa"/>
            <w:tcBorders>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c>
          <w:tcPr>
            <w:tcW w:w="1025" w:type="dxa"/>
            <w:tcBorders>
              <w:right w:val="single" w:sz="8" w:space="0" w:color="auto"/>
            </w:tcBorders>
          </w:tcPr>
          <w:p w:rsidR="00043DC6" w:rsidRPr="006B62A3" w:rsidRDefault="00043DC6" w:rsidP="00043DC6">
            <w:pPr>
              <w:jc w:val="center"/>
              <w:cnfStyle w:val="000000000000" w:firstRow="0" w:lastRow="0" w:firstColumn="0" w:lastColumn="0" w:oddVBand="0" w:evenVBand="0" w:oddHBand="0" w:evenHBand="0" w:firstRowFirstColumn="0" w:firstRowLastColumn="0" w:lastRowFirstColumn="0" w:lastRowLastColumn="0"/>
            </w:pPr>
            <w:r w:rsidRPr="006B62A3">
              <w:t>4</w:t>
            </w:r>
          </w:p>
        </w:tc>
        <w:tc>
          <w:tcPr>
            <w:tcW w:w="1025" w:type="dxa"/>
            <w:tcBorders>
              <w:left w:val="single" w:sz="8" w:space="0" w:color="auto"/>
              <w:right w:val="single" w:sz="8" w:space="0" w:color="auto"/>
            </w:tcBorders>
          </w:tcPr>
          <w:p w:rsidR="00043DC6" w:rsidRPr="006B62A3" w:rsidRDefault="00043DC6" w:rsidP="00043DC6">
            <w:pPr>
              <w:jc w:val="center"/>
              <w:cnfStyle w:val="000000000000" w:firstRow="0" w:lastRow="0" w:firstColumn="0" w:lastColumn="0" w:oddVBand="0" w:evenVBand="0" w:oddHBand="0" w:evenHBand="0" w:firstRowFirstColumn="0" w:firstRowLastColumn="0" w:lastRowFirstColumn="0" w:lastRowLastColumn="0"/>
            </w:pPr>
            <w:r w:rsidRPr="006B62A3">
              <w:t>4</w:t>
            </w:r>
          </w:p>
        </w:tc>
        <w:tc>
          <w:tcPr>
            <w:tcW w:w="1025" w:type="dxa"/>
            <w:tcBorders>
              <w:left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c>
          <w:tcPr>
            <w:tcW w:w="1025" w:type="dxa"/>
            <w:tcBorders>
              <w:left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r>
      <w:tr w:rsidR="006058D2" w:rsidTr="00731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3</w:t>
            </w:r>
          </w:p>
        </w:tc>
        <w:tc>
          <w:tcPr>
            <w:tcW w:w="90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pPr>
            <w:r>
              <w:t>2B</w:t>
            </w:r>
          </w:p>
        </w:tc>
        <w:tc>
          <w:tcPr>
            <w:tcW w:w="117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620" w:type="dxa"/>
          </w:tcPr>
          <w:p w:rsidR="00043DC6" w:rsidRDefault="00043DC6" w:rsidP="00043DC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Phoenix</w:t>
            </w:r>
          </w:p>
        </w:tc>
        <w:tc>
          <w:tcPr>
            <w:tcW w:w="1025" w:type="dxa"/>
            <w:tcBorders>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025" w:type="dxa"/>
            <w:tcBorders>
              <w:bottom w:val="single" w:sz="8" w:space="0" w:color="auto"/>
              <w:right w:val="single" w:sz="8" w:space="0" w:color="auto"/>
            </w:tcBorders>
          </w:tcPr>
          <w:p w:rsidR="00043DC6" w:rsidRPr="006B62A3" w:rsidRDefault="00043DC6" w:rsidP="00043DC6">
            <w:pPr>
              <w:jc w:val="center"/>
              <w:cnfStyle w:val="000000100000" w:firstRow="0" w:lastRow="0" w:firstColumn="0" w:lastColumn="0" w:oddVBand="0" w:evenVBand="0" w:oddHBand="1" w:evenHBand="0" w:firstRowFirstColumn="0" w:firstRowLastColumn="0" w:lastRowFirstColumn="0" w:lastRowLastColumn="0"/>
            </w:pPr>
          </w:p>
        </w:tc>
        <w:tc>
          <w:tcPr>
            <w:tcW w:w="1025" w:type="dxa"/>
            <w:tcBorders>
              <w:left w:val="single" w:sz="8" w:space="0" w:color="auto"/>
              <w:bottom w:val="single" w:sz="8" w:space="0" w:color="auto"/>
              <w:right w:val="single" w:sz="8" w:space="0" w:color="auto"/>
            </w:tcBorders>
          </w:tcPr>
          <w:p w:rsidR="00043DC6" w:rsidRPr="006B62A3" w:rsidRDefault="00043DC6" w:rsidP="00043DC6">
            <w:pPr>
              <w:jc w:val="center"/>
              <w:cnfStyle w:val="000000100000" w:firstRow="0" w:lastRow="0" w:firstColumn="0" w:lastColumn="0" w:oddVBand="0" w:evenVBand="0" w:oddHBand="1" w:evenHBand="0" w:firstRowFirstColumn="0" w:firstRowLastColumn="0" w:lastRowFirstColumn="0" w:lastRowLastColumn="0"/>
            </w:pPr>
          </w:p>
        </w:tc>
        <w:tc>
          <w:tcPr>
            <w:tcW w:w="1025" w:type="dxa"/>
            <w:tcBorders>
              <w:left w:val="single" w:sz="8" w:space="0" w:color="auto"/>
              <w:bottom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25" w:type="dxa"/>
            <w:tcBorders>
              <w:left w:val="single" w:sz="8" w:space="0" w:color="auto"/>
              <w:bottom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058D2" w:rsidTr="0073184C">
        <w:tc>
          <w:tcPr>
            <w:cnfStyle w:val="001000000000" w:firstRow="0" w:lastRow="0" w:firstColumn="1" w:lastColumn="0" w:oddVBand="0" w:evenVBand="0" w:oddHBand="0" w:evenHBand="0" w:firstRowFirstColumn="0" w:firstRowLastColumn="0" w:lastRowFirstColumn="0" w:lastRowLastColumn="0"/>
            <w:tcW w:w="535" w:type="dxa"/>
          </w:tcPr>
          <w:p w:rsidR="00043DC6" w:rsidRPr="008C7EFB" w:rsidRDefault="00043DC6" w:rsidP="00043DC6">
            <w:r>
              <w:t>4</w:t>
            </w:r>
          </w:p>
        </w:tc>
        <w:tc>
          <w:tcPr>
            <w:tcW w:w="90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pPr>
            <w:r w:rsidRPr="008C7EFB">
              <w:t>3A</w:t>
            </w:r>
          </w:p>
        </w:tc>
        <w:tc>
          <w:tcPr>
            <w:tcW w:w="117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20" w:type="dxa"/>
          </w:tcPr>
          <w:p w:rsidR="00043DC6" w:rsidRDefault="00043DC6" w:rsidP="00043D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Atlanta</w:t>
            </w:r>
          </w:p>
        </w:tc>
        <w:tc>
          <w:tcPr>
            <w:tcW w:w="1025" w:type="dxa"/>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c>
          <w:tcPr>
            <w:tcW w:w="1025" w:type="dxa"/>
            <w:tcBorders>
              <w:top w:val="single" w:sz="8" w:space="0" w:color="auto"/>
              <w:bottom w:val="single" w:sz="8" w:space="0" w:color="auto"/>
            </w:tcBorders>
          </w:tcPr>
          <w:p w:rsidR="00043DC6" w:rsidRPr="006B62A3" w:rsidRDefault="00043DC6" w:rsidP="00043DC6">
            <w:pPr>
              <w:jc w:val="center"/>
              <w:cnfStyle w:val="000000000000" w:firstRow="0" w:lastRow="0" w:firstColumn="0" w:lastColumn="0" w:oddVBand="0" w:evenVBand="0" w:oddHBand="0" w:evenHBand="0" w:firstRowFirstColumn="0" w:firstRowLastColumn="0" w:lastRowFirstColumn="0" w:lastRowLastColumn="0"/>
            </w:pPr>
            <w:r w:rsidRPr="006B62A3">
              <w:t>3</w:t>
            </w:r>
          </w:p>
        </w:tc>
        <w:tc>
          <w:tcPr>
            <w:tcW w:w="1025" w:type="dxa"/>
            <w:tcBorders>
              <w:top w:val="single" w:sz="8" w:space="0" w:color="auto"/>
              <w:bottom w:val="single" w:sz="8" w:space="0" w:color="auto"/>
            </w:tcBorders>
          </w:tcPr>
          <w:p w:rsidR="00043DC6" w:rsidRPr="006B62A3" w:rsidRDefault="00043DC6" w:rsidP="00043DC6">
            <w:pPr>
              <w:jc w:val="center"/>
              <w:cnfStyle w:val="000000000000" w:firstRow="0" w:lastRow="0" w:firstColumn="0" w:lastColumn="0" w:oddVBand="0" w:evenVBand="0" w:oddHBand="0" w:evenHBand="0" w:firstRowFirstColumn="0" w:firstRowLastColumn="0" w:lastRowFirstColumn="0" w:lastRowLastColumn="0"/>
            </w:pPr>
            <w:r w:rsidRPr="006B62A3">
              <w:t>3</w:t>
            </w:r>
          </w:p>
        </w:tc>
        <w:tc>
          <w:tcPr>
            <w:tcW w:w="1025" w:type="dxa"/>
            <w:tcBorders>
              <w:top w:val="single" w:sz="8" w:space="0" w:color="auto"/>
              <w:bottom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1025" w:type="dxa"/>
            <w:tcBorders>
              <w:top w:val="single" w:sz="8" w:space="0" w:color="auto"/>
              <w:bottom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6058D2" w:rsidTr="00731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5</w:t>
            </w:r>
          </w:p>
        </w:tc>
        <w:tc>
          <w:tcPr>
            <w:tcW w:w="900" w:type="dxa"/>
          </w:tcPr>
          <w:p w:rsidR="00043DC6" w:rsidRPr="008C7EFB" w:rsidRDefault="00043DC6" w:rsidP="006058D2">
            <w:pPr>
              <w:jc w:val="center"/>
              <w:cnfStyle w:val="000000100000" w:firstRow="0" w:lastRow="0" w:firstColumn="0" w:lastColumn="0" w:oddVBand="0" w:evenVBand="0" w:oddHBand="1" w:evenHBand="0" w:firstRowFirstColumn="0" w:firstRowLastColumn="0" w:lastRowFirstColumn="0" w:lastRowLastColumn="0"/>
            </w:pPr>
            <w:r>
              <w:t>3B</w:t>
            </w:r>
          </w:p>
        </w:tc>
        <w:tc>
          <w:tcPr>
            <w:tcW w:w="117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Other</w:t>
            </w:r>
          </w:p>
        </w:tc>
        <w:tc>
          <w:tcPr>
            <w:tcW w:w="1620" w:type="dxa"/>
          </w:tcPr>
          <w:p w:rsidR="00043DC6" w:rsidRDefault="00043DC6" w:rsidP="00043DC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Las Vegas </w:t>
            </w:r>
          </w:p>
        </w:tc>
        <w:tc>
          <w:tcPr>
            <w:tcW w:w="1025" w:type="dxa"/>
            <w:tcBorders>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1025" w:type="dxa"/>
            <w:tcBorders>
              <w:top w:val="single" w:sz="8" w:space="0" w:color="auto"/>
              <w:right w:val="single" w:sz="8" w:space="0" w:color="auto"/>
            </w:tcBorders>
          </w:tcPr>
          <w:p w:rsidR="00043DC6" w:rsidRPr="006B62A3" w:rsidRDefault="00043DC6" w:rsidP="00043DC6">
            <w:pPr>
              <w:jc w:val="center"/>
              <w:cnfStyle w:val="000000100000" w:firstRow="0" w:lastRow="0" w:firstColumn="0" w:lastColumn="0" w:oddVBand="0" w:evenVBand="0" w:oddHBand="1" w:evenHBand="0" w:firstRowFirstColumn="0" w:firstRowLastColumn="0" w:lastRowFirstColumn="0" w:lastRowLastColumn="0"/>
            </w:pPr>
          </w:p>
        </w:tc>
        <w:tc>
          <w:tcPr>
            <w:tcW w:w="1025" w:type="dxa"/>
            <w:tcBorders>
              <w:top w:val="single" w:sz="8" w:space="0" w:color="auto"/>
              <w:left w:val="single" w:sz="8" w:space="0" w:color="auto"/>
              <w:right w:val="single" w:sz="8" w:space="0" w:color="auto"/>
            </w:tcBorders>
          </w:tcPr>
          <w:p w:rsidR="00043DC6" w:rsidRPr="006B62A3" w:rsidRDefault="00043DC6" w:rsidP="00043DC6">
            <w:pPr>
              <w:jc w:val="center"/>
              <w:cnfStyle w:val="000000100000" w:firstRow="0" w:lastRow="0" w:firstColumn="0" w:lastColumn="0" w:oddVBand="0" w:evenVBand="0" w:oddHBand="1" w:evenHBand="0" w:firstRowFirstColumn="0" w:firstRowLastColumn="0" w:lastRowFirstColumn="0" w:lastRowLastColumn="0"/>
            </w:pPr>
          </w:p>
        </w:tc>
        <w:tc>
          <w:tcPr>
            <w:tcW w:w="1025" w:type="dxa"/>
            <w:tcBorders>
              <w:top w:val="single" w:sz="8" w:space="0" w:color="auto"/>
              <w:left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25" w:type="dxa"/>
            <w:tcBorders>
              <w:top w:val="single" w:sz="8" w:space="0" w:color="auto"/>
              <w:left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058D2" w:rsidTr="0073184C">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6</w:t>
            </w:r>
          </w:p>
        </w:tc>
        <w:tc>
          <w:tcPr>
            <w:tcW w:w="90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pPr>
            <w:r>
              <w:t>3B</w:t>
            </w:r>
          </w:p>
        </w:tc>
        <w:tc>
          <w:tcPr>
            <w:tcW w:w="117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r w:rsidR="006058D2">
              <w:rPr>
                <w:rFonts w:cstheme="minorHAnsi"/>
              </w:rPr>
              <w:t>A-</w:t>
            </w:r>
            <w:r>
              <w:rPr>
                <w:rFonts w:cstheme="minorHAnsi"/>
              </w:rPr>
              <w:t>coast</w:t>
            </w:r>
          </w:p>
        </w:tc>
        <w:tc>
          <w:tcPr>
            <w:tcW w:w="1620" w:type="dxa"/>
          </w:tcPr>
          <w:p w:rsidR="00043DC6" w:rsidRDefault="00043DC6" w:rsidP="00043D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Los Angeles </w:t>
            </w:r>
          </w:p>
        </w:tc>
        <w:tc>
          <w:tcPr>
            <w:tcW w:w="1025" w:type="dxa"/>
            <w:tcBorders>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1025" w:type="dxa"/>
            <w:tcBorders>
              <w:right w:val="single" w:sz="8" w:space="0" w:color="auto"/>
            </w:tcBorders>
          </w:tcPr>
          <w:p w:rsidR="00043DC6" w:rsidRPr="006B62A3" w:rsidRDefault="00043DC6" w:rsidP="00043DC6">
            <w:pPr>
              <w:jc w:val="center"/>
              <w:cnfStyle w:val="000000000000" w:firstRow="0" w:lastRow="0" w:firstColumn="0" w:lastColumn="0" w:oddVBand="0" w:evenVBand="0" w:oddHBand="0" w:evenHBand="0" w:firstRowFirstColumn="0" w:firstRowLastColumn="0" w:lastRowFirstColumn="0" w:lastRowLastColumn="0"/>
            </w:pPr>
            <w:r w:rsidRPr="006B62A3">
              <w:t>4</w:t>
            </w:r>
          </w:p>
        </w:tc>
        <w:tc>
          <w:tcPr>
            <w:tcW w:w="1025" w:type="dxa"/>
            <w:tcBorders>
              <w:left w:val="single" w:sz="8" w:space="0" w:color="auto"/>
              <w:right w:val="single" w:sz="8" w:space="0" w:color="auto"/>
            </w:tcBorders>
          </w:tcPr>
          <w:p w:rsidR="00043DC6" w:rsidRPr="006B62A3" w:rsidRDefault="00043DC6" w:rsidP="00043DC6">
            <w:pPr>
              <w:jc w:val="center"/>
              <w:cnfStyle w:val="000000000000" w:firstRow="0" w:lastRow="0" w:firstColumn="0" w:lastColumn="0" w:oddVBand="0" w:evenVBand="0" w:oddHBand="0" w:evenHBand="0" w:firstRowFirstColumn="0" w:firstRowLastColumn="0" w:lastRowFirstColumn="0" w:lastRowLastColumn="0"/>
            </w:pPr>
            <w:r w:rsidRPr="006B62A3">
              <w:t>4</w:t>
            </w:r>
          </w:p>
        </w:tc>
        <w:tc>
          <w:tcPr>
            <w:tcW w:w="1025" w:type="dxa"/>
            <w:tcBorders>
              <w:left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c>
          <w:tcPr>
            <w:tcW w:w="1025" w:type="dxa"/>
            <w:tcBorders>
              <w:left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r>
      <w:tr w:rsidR="006058D2" w:rsidTr="00731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7</w:t>
            </w:r>
          </w:p>
        </w:tc>
        <w:tc>
          <w:tcPr>
            <w:tcW w:w="90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pPr>
            <w:r>
              <w:t>3C</w:t>
            </w:r>
          </w:p>
        </w:tc>
        <w:tc>
          <w:tcPr>
            <w:tcW w:w="117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620" w:type="dxa"/>
          </w:tcPr>
          <w:p w:rsidR="00043DC6" w:rsidRDefault="00043DC6" w:rsidP="00043DC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San Francisco</w:t>
            </w:r>
          </w:p>
        </w:tc>
        <w:tc>
          <w:tcPr>
            <w:tcW w:w="1025" w:type="dxa"/>
            <w:tcBorders>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1025" w:type="dxa"/>
            <w:tcBorders>
              <w:bottom w:val="single" w:sz="8" w:space="0" w:color="auto"/>
              <w:right w:val="single" w:sz="8" w:space="0" w:color="auto"/>
            </w:tcBorders>
          </w:tcPr>
          <w:p w:rsidR="00043DC6" w:rsidRPr="006B62A3" w:rsidRDefault="00043DC6" w:rsidP="00043DC6">
            <w:pPr>
              <w:jc w:val="center"/>
              <w:cnfStyle w:val="000000100000" w:firstRow="0" w:lastRow="0" w:firstColumn="0" w:lastColumn="0" w:oddVBand="0" w:evenVBand="0" w:oddHBand="1" w:evenHBand="0" w:firstRowFirstColumn="0" w:firstRowLastColumn="0" w:lastRowFirstColumn="0" w:lastRowLastColumn="0"/>
            </w:pPr>
          </w:p>
        </w:tc>
        <w:tc>
          <w:tcPr>
            <w:tcW w:w="1025" w:type="dxa"/>
            <w:tcBorders>
              <w:left w:val="single" w:sz="8" w:space="0" w:color="auto"/>
              <w:bottom w:val="single" w:sz="8" w:space="0" w:color="auto"/>
              <w:right w:val="single" w:sz="8" w:space="0" w:color="auto"/>
            </w:tcBorders>
          </w:tcPr>
          <w:p w:rsidR="00043DC6" w:rsidRPr="006B62A3" w:rsidRDefault="00043DC6" w:rsidP="00043DC6">
            <w:pPr>
              <w:jc w:val="center"/>
              <w:cnfStyle w:val="000000100000" w:firstRow="0" w:lastRow="0" w:firstColumn="0" w:lastColumn="0" w:oddVBand="0" w:evenVBand="0" w:oddHBand="1" w:evenHBand="0" w:firstRowFirstColumn="0" w:firstRowLastColumn="0" w:lastRowFirstColumn="0" w:lastRowLastColumn="0"/>
            </w:pPr>
          </w:p>
        </w:tc>
        <w:tc>
          <w:tcPr>
            <w:tcW w:w="1025" w:type="dxa"/>
            <w:tcBorders>
              <w:left w:val="single" w:sz="8" w:space="0" w:color="auto"/>
              <w:bottom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25" w:type="dxa"/>
            <w:tcBorders>
              <w:left w:val="single" w:sz="8" w:space="0" w:color="auto"/>
              <w:bottom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058D2" w:rsidTr="0073184C">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8</w:t>
            </w:r>
          </w:p>
        </w:tc>
        <w:tc>
          <w:tcPr>
            <w:tcW w:w="90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pPr>
            <w:r>
              <w:t>4</w:t>
            </w:r>
            <w:r w:rsidRPr="008C7EFB">
              <w:t>A</w:t>
            </w:r>
          </w:p>
        </w:tc>
        <w:tc>
          <w:tcPr>
            <w:tcW w:w="117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20" w:type="dxa"/>
          </w:tcPr>
          <w:p w:rsidR="00043DC6" w:rsidRDefault="00043DC6" w:rsidP="00043D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Baltimore</w:t>
            </w:r>
          </w:p>
        </w:tc>
        <w:tc>
          <w:tcPr>
            <w:tcW w:w="1025" w:type="dxa"/>
            <w:tcBorders>
              <w:right w:val="nil"/>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w:t>
            </w:r>
          </w:p>
        </w:tc>
        <w:tc>
          <w:tcPr>
            <w:tcW w:w="1025" w:type="dxa"/>
            <w:tcBorders>
              <w:top w:val="single" w:sz="8" w:space="0" w:color="auto"/>
              <w:bottom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pPr>
            <w:r w:rsidRPr="006B62A3">
              <w:t>4</w:t>
            </w:r>
          </w:p>
        </w:tc>
        <w:tc>
          <w:tcPr>
            <w:tcW w:w="1025" w:type="dxa"/>
            <w:tcBorders>
              <w:top w:val="single" w:sz="8" w:space="0" w:color="auto"/>
              <w:bottom w:val="single" w:sz="8" w:space="0" w:color="auto"/>
              <w:right w:val="nil"/>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pPr>
            <w:r w:rsidRPr="006B62A3">
              <w:t>4</w:t>
            </w:r>
          </w:p>
        </w:tc>
        <w:tc>
          <w:tcPr>
            <w:tcW w:w="1025" w:type="dxa"/>
            <w:tcBorders>
              <w:top w:val="single" w:sz="8" w:space="0" w:color="auto"/>
              <w:left w:val="nil"/>
              <w:bottom w:val="single" w:sz="8" w:space="0" w:color="auto"/>
              <w:right w:val="single" w:sz="8" w:space="0" w:color="9CC2E5" w:themeColor="accent1" w:themeTint="99"/>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c>
          <w:tcPr>
            <w:tcW w:w="1025" w:type="dxa"/>
            <w:tcBorders>
              <w:top w:val="single" w:sz="8" w:space="0" w:color="auto"/>
              <w:left w:val="nil"/>
              <w:bottom w:val="single" w:sz="8" w:space="0" w:color="auto"/>
              <w:right w:val="single" w:sz="8" w:space="0" w:color="9CC2E5" w:themeColor="accent1" w:themeTint="99"/>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r>
      <w:tr w:rsidR="006058D2" w:rsidTr="00731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9</w:t>
            </w:r>
          </w:p>
        </w:tc>
        <w:tc>
          <w:tcPr>
            <w:tcW w:w="90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pPr>
            <w:r>
              <w:t>4B</w:t>
            </w:r>
          </w:p>
        </w:tc>
        <w:tc>
          <w:tcPr>
            <w:tcW w:w="117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620" w:type="dxa"/>
          </w:tcPr>
          <w:p w:rsidR="00043DC6" w:rsidRDefault="00043DC6" w:rsidP="00043DC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Albuquerque</w:t>
            </w:r>
          </w:p>
        </w:tc>
        <w:tc>
          <w:tcPr>
            <w:tcW w:w="1025" w:type="dxa"/>
            <w:tcBorders>
              <w:right w:val="single" w:sz="8" w:space="0" w:color="auto"/>
            </w:tcBorders>
          </w:tcPr>
          <w:p w:rsidR="00043DC6" w:rsidRDefault="0073184C" w:rsidP="0073184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025" w:type="dxa"/>
            <w:tcBorders>
              <w:top w:val="single" w:sz="8" w:space="0" w:color="auto"/>
              <w:right w:val="single" w:sz="8" w:space="0" w:color="auto"/>
            </w:tcBorders>
          </w:tcPr>
          <w:p w:rsidR="00043DC6" w:rsidRDefault="0073184C"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025" w:type="dxa"/>
            <w:tcBorders>
              <w:top w:val="single" w:sz="8" w:space="0" w:color="auto"/>
              <w:left w:val="single" w:sz="8" w:space="0" w:color="auto"/>
              <w:right w:val="single" w:sz="8" w:space="0" w:color="auto"/>
            </w:tcBorders>
          </w:tcPr>
          <w:p w:rsidR="00043DC6" w:rsidRDefault="0073184C"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025" w:type="dxa"/>
            <w:tcBorders>
              <w:top w:val="single" w:sz="8" w:space="0" w:color="auto"/>
              <w:left w:val="single" w:sz="8" w:space="0" w:color="auto"/>
              <w:bottom w:val="single" w:sz="8" w:space="0" w:color="9CC2E5" w:themeColor="accent1" w:themeTint="99"/>
              <w:right w:val="single" w:sz="8" w:space="0" w:color="auto"/>
            </w:tcBorders>
          </w:tcPr>
          <w:p w:rsidR="00043DC6" w:rsidRDefault="0073184C"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025" w:type="dxa"/>
            <w:tcBorders>
              <w:top w:val="single" w:sz="8" w:space="0" w:color="auto"/>
              <w:left w:val="single" w:sz="8" w:space="0" w:color="auto"/>
              <w:bottom w:val="single" w:sz="8" w:space="0" w:color="9CC2E5" w:themeColor="accent1" w:themeTint="99"/>
              <w:right w:val="single" w:sz="8" w:space="0" w:color="auto"/>
            </w:tcBorders>
          </w:tcPr>
          <w:p w:rsidR="00043DC6" w:rsidRDefault="0073184C"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6058D2" w:rsidTr="0073184C">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10</w:t>
            </w:r>
          </w:p>
        </w:tc>
        <w:tc>
          <w:tcPr>
            <w:tcW w:w="90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pPr>
            <w:r>
              <w:t>4C</w:t>
            </w:r>
          </w:p>
        </w:tc>
        <w:tc>
          <w:tcPr>
            <w:tcW w:w="117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20" w:type="dxa"/>
          </w:tcPr>
          <w:p w:rsidR="00043DC6" w:rsidRDefault="00043DC6" w:rsidP="00043D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Seattle</w:t>
            </w:r>
          </w:p>
        </w:tc>
        <w:tc>
          <w:tcPr>
            <w:tcW w:w="1025" w:type="dxa"/>
            <w:tcBorders>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1025" w:type="dxa"/>
            <w:tcBorders>
              <w:bottom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25" w:type="dxa"/>
            <w:tcBorders>
              <w:left w:val="single" w:sz="8" w:space="0" w:color="auto"/>
              <w:bottom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25" w:type="dxa"/>
            <w:tcBorders>
              <w:top w:val="single" w:sz="8" w:space="0" w:color="9CC2E5" w:themeColor="accent1" w:themeTint="99"/>
              <w:left w:val="single" w:sz="8" w:space="0" w:color="auto"/>
              <w:bottom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25" w:type="dxa"/>
            <w:tcBorders>
              <w:top w:val="single" w:sz="8" w:space="0" w:color="9CC2E5" w:themeColor="accent1" w:themeTint="99"/>
              <w:left w:val="single" w:sz="8" w:space="0" w:color="auto"/>
              <w:bottom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058D2" w:rsidTr="00731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11</w:t>
            </w:r>
          </w:p>
        </w:tc>
        <w:tc>
          <w:tcPr>
            <w:tcW w:w="90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pPr>
            <w:r>
              <w:t>5</w:t>
            </w:r>
          </w:p>
        </w:tc>
        <w:tc>
          <w:tcPr>
            <w:tcW w:w="117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5A</w:t>
            </w:r>
          </w:p>
        </w:tc>
        <w:tc>
          <w:tcPr>
            <w:tcW w:w="1620" w:type="dxa"/>
          </w:tcPr>
          <w:p w:rsidR="00043DC6" w:rsidRDefault="00043DC6" w:rsidP="00043DC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Chicago</w:t>
            </w:r>
          </w:p>
        </w:tc>
        <w:tc>
          <w:tcPr>
            <w:tcW w:w="1025" w:type="dxa"/>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w:t>
            </w:r>
          </w:p>
        </w:tc>
        <w:tc>
          <w:tcPr>
            <w:tcW w:w="1025" w:type="dxa"/>
            <w:tcBorders>
              <w:top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1025" w:type="dxa"/>
            <w:tcBorders>
              <w:top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1025" w:type="dxa"/>
            <w:tcBorders>
              <w:top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1025" w:type="dxa"/>
            <w:tcBorders>
              <w:top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6058D2" w:rsidTr="0073184C">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12</w:t>
            </w:r>
          </w:p>
        </w:tc>
        <w:tc>
          <w:tcPr>
            <w:tcW w:w="90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pPr>
            <w:r>
              <w:t>5</w:t>
            </w:r>
          </w:p>
        </w:tc>
        <w:tc>
          <w:tcPr>
            <w:tcW w:w="117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5B</w:t>
            </w:r>
          </w:p>
        </w:tc>
        <w:tc>
          <w:tcPr>
            <w:tcW w:w="1620" w:type="dxa"/>
          </w:tcPr>
          <w:p w:rsidR="00043DC6" w:rsidRDefault="00043DC6" w:rsidP="00043D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Denver</w:t>
            </w:r>
          </w:p>
        </w:tc>
        <w:tc>
          <w:tcPr>
            <w:tcW w:w="1025" w:type="dxa"/>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c>
          <w:tcPr>
            <w:tcW w:w="1025" w:type="dxa"/>
            <w:tcBorders>
              <w:bottom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025" w:type="dxa"/>
            <w:tcBorders>
              <w:bottom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025" w:type="dxa"/>
            <w:tcBorders>
              <w:bottom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025" w:type="dxa"/>
            <w:tcBorders>
              <w:bottom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6058D2" w:rsidTr="00731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13</w:t>
            </w:r>
          </w:p>
        </w:tc>
        <w:tc>
          <w:tcPr>
            <w:tcW w:w="90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pPr>
            <w:r>
              <w:t>6</w:t>
            </w:r>
          </w:p>
        </w:tc>
        <w:tc>
          <w:tcPr>
            <w:tcW w:w="117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6A</w:t>
            </w:r>
          </w:p>
        </w:tc>
        <w:tc>
          <w:tcPr>
            <w:tcW w:w="1620" w:type="dxa"/>
          </w:tcPr>
          <w:p w:rsidR="00043DC6" w:rsidRDefault="00043DC6" w:rsidP="00043DC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Minneapolis</w:t>
            </w:r>
          </w:p>
        </w:tc>
        <w:tc>
          <w:tcPr>
            <w:tcW w:w="1025" w:type="dxa"/>
            <w:tcBorders>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1025" w:type="dxa"/>
            <w:tcBorders>
              <w:top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25" w:type="dxa"/>
            <w:tcBorders>
              <w:top w:val="single" w:sz="8" w:space="0" w:color="auto"/>
              <w:left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25" w:type="dxa"/>
            <w:tcBorders>
              <w:top w:val="single" w:sz="8" w:space="0" w:color="auto"/>
              <w:left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25" w:type="dxa"/>
            <w:tcBorders>
              <w:top w:val="single" w:sz="8" w:space="0" w:color="auto"/>
              <w:left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058D2" w:rsidTr="0073184C">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14</w:t>
            </w:r>
          </w:p>
        </w:tc>
        <w:tc>
          <w:tcPr>
            <w:tcW w:w="90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pPr>
            <w:r>
              <w:t>6</w:t>
            </w:r>
          </w:p>
        </w:tc>
        <w:tc>
          <w:tcPr>
            <w:tcW w:w="117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6B</w:t>
            </w:r>
          </w:p>
        </w:tc>
        <w:tc>
          <w:tcPr>
            <w:tcW w:w="1620" w:type="dxa"/>
          </w:tcPr>
          <w:p w:rsidR="00043DC6" w:rsidRDefault="00043DC6" w:rsidP="00043D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Helena, MT</w:t>
            </w:r>
          </w:p>
        </w:tc>
        <w:tc>
          <w:tcPr>
            <w:tcW w:w="1025" w:type="dxa"/>
            <w:tcBorders>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025" w:type="dxa"/>
            <w:tcBorders>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025" w:type="dxa"/>
            <w:tcBorders>
              <w:left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025" w:type="dxa"/>
            <w:tcBorders>
              <w:left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025" w:type="dxa"/>
            <w:tcBorders>
              <w:left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6058D2" w:rsidTr="00731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15</w:t>
            </w:r>
          </w:p>
        </w:tc>
        <w:tc>
          <w:tcPr>
            <w:tcW w:w="90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pPr>
            <w:r>
              <w:t>7</w:t>
            </w:r>
          </w:p>
        </w:tc>
        <w:tc>
          <w:tcPr>
            <w:tcW w:w="117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620" w:type="dxa"/>
          </w:tcPr>
          <w:p w:rsidR="00043DC6" w:rsidRPr="005D2632" w:rsidRDefault="00043DC6" w:rsidP="00043DC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Duluth, MN</w:t>
            </w:r>
          </w:p>
        </w:tc>
        <w:tc>
          <w:tcPr>
            <w:tcW w:w="1025" w:type="dxa"/>
            <w:tcBorders>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025" w:type="dxa"/>
            <w:tcBorders>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25" w:type="dxa"/>
            <w:tcBorders>
              <w:left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25" w:type="dxa"/>
            <w:tcBorders>
              <w:left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025" w:type="dxa"/>
            <w:tcBorders>
              <w:left w:val="single" w:sz="8" w:space="0" w:color="auto"/>
              <w:right w:val="single" w:sz="8" w:space="0" w:color="auto"/>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058D2" w:rsidTr="007A3CAA">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r>
              <w:t>16</w:t>
            </w:r>
          </w:p>
        </w:tc>
        <w:tc>
          <w:tcPr>
            <w:tcW w:w="90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pPr>
            <w:r>
              <w:t>8</w:t>
            </w:r>
          </w:p>
        </w:tc>
        <w:tc>
          <w:tcPr>
            <w:tcW w:w="1170" w:type="dxa"/>
          </w:tcPr>
          <w:p w:rsidR="00043DC6" w:rsidRDefault="00043DC6" w:rsidP="006058D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20" w:type="dxa"/>
          </w:tcPr>
          <w:p w:rsidR="00043DC6" w:rsidRPr="005D2632" w:rsidRDefault="00043DC6" w:rsidP="00043D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Fairbanks, AK</w:t>
            </w:r>
          </w:p>
        </w:tc>
        <w:tc>
          <w:tcPr>
            <w:tcW w:w="1025" w:type="dxa"/>
            <w:tcBorders>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025" w:type="dxa"/>
            <w:tcBorders>
              <w:bottom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25" w:type="dxa"/>
            <w:tcBorders>
              <w:left w:val="single" w:sz="8" w:space="0" w:color="auto"/>
              <w:bottom w:val="single" w:sz="8" w:space="0" w:color="auto"/>
              <w:right w:val="single" w:sz="8" w:space="0" w:color="auto"/>
            </w:tcBorders>
          </w:tcPr>
          <w:p w:rsidR="00043DC6" w:rsidRDefault="00043DC6" w:rsidP="00043DC6">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25" w:type="dxa"/>
            <w:tcBorders>
              <w:left w:val="single" w:sz="8" w:space="0" w:color="auto"/>
              <w:bottom w:val="single" w:sz="8" w:space="0" w:color="auto"/>
              <w:right w:val="single" w:sz="8" w:space="0" w:color="auto"/>
            </w:tcBorders>
          </w:tcPr>
          <w:p w:rsidR="00043DC6" w:rsidRDefault="00043DC6" w:rsidP="00043DC6">
            <w:pPr>
              <w:cnfStyle w:val="000000000000" w:firstRow="0" w:lastRow="0" w:firstColumn="0" w:lastColumn="0" w:oddVBand="0" w:evenVBand="0" w:oddHBand="0" w:evenHBand="0" w:firstRowFirstColumn="0" w:firstRowLastColumn="0" w:lastRowFirstColumn="0" w:lastRowLastColumn="0"/>
              <w:rPr>
                <w:rFonts w:cstheme="minorHAnsi"/>
              </w:rPr>
            </w:pPr>
          </w:p>
        </w:tc>
        <w:tc>
          <w:tcPr>
            <w:tcW w:w="1025" w:type="dxa"/>
            <w:tcBorders>
              <w:left w:val="single" w:sz="8" w:space="0" w:color="auto"/>
              <w:bottom w:val="single" w:sz="8" w:space="0" w:color="auto"/>
              <w:right w:val="single" w:sz="8" w:space="0" w:color="auto"/>
            </w:tcBorders>
          </w:tcPr>
          <w:p w:rsidR="00043DC6" w:rsidRDefault="00043DC6" w:rsidP="00043DC6">
            <w:pPr>
              <w:cnfStyle w:val="000000000000" w:firstRow="0" w:lastRow="0" w:firstColumn="0" w:lastColumn="0" w:oddVBand="0" w:evenVBand="0" w:oddHBand="0" w:evenHBand="0" w:firstRowFirstColumn="0" w:firstRowLastColumn="0" w:lastRowFirstColumn="0" w:lastRowLastColumn="0"/>
              <w:rPr>
                <w:rFonts w:cstheme="minorHAnsi"/>
              </w:rPr>
            </w:pPr>
          </w:p>
        </w:tc>
      </w:tr>
      <w:tr w:rsidR="006058D2" w:rsidTr="007A3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043DC6" w:rsidRDefault="00043DC6" w:rsidP="00043DC6"/>
        </w:tc>
        <w:tc>
          <w:tcPr>
            <w:tcW w:w="90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pPr>
          </w:p>
        </w:tc>
        <w:tc>
          <w:tcPr>
            <w:tcW w:w="1170" w:type="dxa"/>
          </w:tcPr>
          <w:p w:rsidR="00043DC6" w:rsidRDefault="00043DC6" w:rsidP="006058D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620" w:type="dxa"/>
          </w:tcPr>
          <w:p w:rsidR="00043DC6" w:rsidRDefault="006058D2" w:rsidP="00043DC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Total</w:t>
            </w:r>
          </w:p>
        </w:tc>
        <w:tc>
          <w:tcPr>
            <w:tcW w:w="1025" w:type="dxa"/>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w:t>
            </w:r>
          </w:p>
        </w:tc>
        <w:tc>
          <w:tcPr>
            <w:tcW w:w="1025" w:type="dxa"/>
            <w:tcBorders>
              <w:top w:val="single" w:sz="8" w:space="0" w:color="auto"/>
              <w:bottom w:val="single" w:sz="8" w:space="0" w:color="9CC2E5" w:themeColor="accent1" w:themeTint="99"/>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w:t>
            </w:r>
          </w:p>
        </w:tc>
        <w:tc>
          <w:tcPr>
            <w:tcW w:w="1025" w:type="dxa"/>
            <w:tcBorders>
              <w:top w:val="single" w:sz="8" w:space="0" w:color="auto"/>
              <w:bottom w:val="single" w:sz="8" w:space="0" w:color="9CC2E5" w:themeColor="accent1" w:themeTint="99"/>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w:t>
            </w:r>
          </w:p>
        </w:tc>
        <w:tc>
          <w:tcPr>
            <w:tcW w:w="1025" w:type="dxa"/>
            <w:tcBorders>
              <w:top w:val="single" w:sz="8" w:space="0" w:color="auto"/>
              <w:bottom w:val="single" w:sz="8" w:space="0" w:color="9CC2E5" w:themeColor="accent1" w:themeTint="99"/>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w:t>
            </w:r>
          </w:p>
        </w:tc>
        <w:tc>
          <w:tcPr>
            <w:tcW w:w="1025" w:type="dxa"/>
            <w:tcBorders>
              <w:top w:val="single" w:sz="8" w:space="0" w:color="auto"/>
              <w:bottom w:val="single" w:sz="8" w:space="0" w:color="9CC2E5" w:themeColor="accent1" w:themeTint="99"/>
            </w:tcBorders>
          </w:tcPr>
          <w:p w:rsidR="00043DC6" w:rsidRDefault="00043DC6" w:rsidP="00043DC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w:t>
            </w:r>
          </w:p>
        </w:tc>
      </w:tr>
    </w:tbl>
    <w:p w:rsidR="00D22151" w:rsidRDefault="00D22151" w:rsidP="00D20326">
      <w:pPr>
        <w:jc w:val="center"/>
      </w:pPr>
    </w:p>
    <w:p w:rsidR="0078449F" w:rsidRPr="00F215CE" w:rsidRDefault="0078449F" w:rsidP="0078449F">
      <w:pPr>
        <w:rPr>
          <w:rFonts w:asciiTheme="majorHAnsi" w:hAnsiTheme="majorHAnsi" w:cstheme="majorHAnsi"/>
          <w:b/>
        </w:rPr>
      </w:pPr>
      <w:r w:rsidRPr="00F215CE">
        <w:rPr>
          <w:rFonts w:asciiTheme="majorHAnsi" w:hAnsiTheme="majorHAnsi" w:cstheme="majorHAnsi"/>
          <w:b/>
        </w:rPr>
        <w:lastRenderedPageBreak/>
        <w:t xml:space="preserve">Building </w:t>
      </w:r>
      <w:r>
        <w:rPr>
          <w:rFonts w:asciiTheme="majorHAnsi" w:hAnsiTheme="majorHAnsi" w:cstheme="majorHAnsi"/>
          <w:b/>
        </w:rPr>
        <w:t xml:space="preserve">Selection </w:t>
      </w:r>
      <w:r w:rsidRPr="00F215CE">
        <w:rPr>
          <w:rFonts w:asciiTheme="majorHAnsi" w:hAnsiTheme="majorHAnsi" w:cstheme="majorHAnsi"/>
          <w:b/>
        </w:rPr>
        <w:t>Criteria</w:t>
      </w:r>
    </w:p>
    <w:p w:rsidR="0078449F" w:rsidRDefault="0078449F" w:rsidP="0078449F">
      <w:pPr>
        <w:rPr>
          <w:rFonts w:asciiTheme="majorHAnsi" w:hAnsiTheme="majorHAnsi" w:cstheme="majorHAnsi"/>
        </w:rPr>
      </w:pPr>
      <w:r>
        <w:rPr>
          <w:rFonts w:asciiTheme="majorHAnsi" w:hAnsiTheme="majorHAnsi" w:cstheme="majorHAnsi"/>
        </w:rPr>
        <w:t xml:space="preserve">Selected buildings should be less than three years old (preferably two) with all equipment installed and operating. Building should be functioning at designed capacity (in terms of building function, number of employees, etc.). </w:t>
      </w:r>
    </w:p>
    <w:p w:rsidR="0078449F" w:rsidRDefault="0078449F" w:rsidP="0078449F">
      <w:pPr>
        <w:rPr>
          <w:rFonts w:asciiTheme="majorHAnsi" w:hAnsiTheme="majorHAnsi" w:cstheme="majorHAnsi"/>
        </w:rPr>
      </w:pPr>
      <w:r>
        <w:rPr>
          <w:rFonts w:asciiTheme="majorHAnsi" w:hAnsiTheme="majorHAnsi" w:cstheme="majorHAnsi"/>
        </w:rPr>
        <w:t>Other factors which should be made known during the site selection:</w:t>
      </w:r>
    </w:p>
    <w:p w:rsidR="0078449F" w:rsidRDefault="0078449F" w:rsidP="0078449F">
      <w:pPr>
        <w:pStyle w:val="ListParagraph"/>
        <w:numPr>
          <w:ilvl w:val="0"/>
          <w:numId w:val="2"/>
        </w:numPr>
        <w:rPr>
          <w:rFonts w:asciiTheme="majorHAnsi" w:hAnsiTheme="majorHAnsi" w:cstheme="majorHAnsi"/>
        </w:rPr>
      </w:pPr>
      <w:r>
        <w:rPr>
          <w:rFonts w:asciiTheme="majorHAnsi" w:hAnsiTheme="majorHAnsi" w:cstheme="majorHAnsi"/>
        </w:rPr>
        <w:t>Bu</w:t>
      </w:r>
      <w:r w:rsidRPr="00A535F2">
        <w:rPr>
          <w:rFonts w:asciiTheme="majorHAnsi" w:hAnsiTheme="majorHAnsi" w:cstheme="majorHAnsi"/>
        </w:rPr>
        <w:t>ilding service voltage</w:t>
      </w:r>
    </w:p>
    <w:p w:rsidR="0078449F" w:rsidRDefault="0078449F" w:rsidP="0078449F">
      <w:pPr>
        <w:pStyle w:val="ListParagraph"/>
        <w:numPr>
          <w:ilvl w:val="0"/>
          <w:numId w:val="2"/>
        </w:numPr>
        <w:rPr>
          <w:rFonts w:asciiTheme="majorHAnsi" w:hAnsiTheme="majorHAnsi" w:cstheme="majorHAnsi"/>
        </w:rPr>
      </w:pPr>
      <w:r>
        <w:rPr>
          <w:rFonts w:asciiTheme="majorHAnsi" w:hAnsiTheme="majorHAnsi" w:cstheme="majorHAnsi"/>
        </w:rPr>
        <w:t>P</w:t>
      </w:r>
      <w:r w:rsidRPr="00A535F2">
        <w:rPr>
          <w:rFonts w:asciiTheme="majorHAnsi" w:hAnsiTheme="majorHAnsi" w:cstheme="majorHAnsi"/>
        </w:rPr>
        <w:t>rimary energy sources for heating, cooling, and hot water</w:t>
      </w:r>
    </w:p>
    <w:p w:rsidR="0078449F" w:rsidRPr="00A535F2" w:rsidRDefault="0078449F" w:rsidP="0078449F">
      <w:pPr>
        <w:pStyle w:val="ListParagraph"/>
        <w:numPr>
          <w:ilvl w:val="0"/>
          <w:numId w:val="2"/>
        </w:numPr>
        <w:rPr>
          <w:rFonts w:asciiTheme="majorHAnsi" w:hAnsiTheme="majorHAnsi" w:cstheme="majorHAnsi"/>
        </w:rPr>
      </w:pPr>
      <w:r>
        <w:rPr>
          <w:rFonts w:asciiTheme="majorHAnsi" w:hAnsiTheme="majorHAnsi" w:cstheme="majorHAnsi"/>
        </w:rPr>
        <w:t>Number of in-house transformers and their rating</w:t>
      </w:r>
    </w:p>
    <w:p w:rsidR="0078449F" w:rsidRPr="0078449F" w:rsidRDefault="0078449F" w:rsidP="0078449F">
      <w:pPr>
        <w:rPr>
          <w:rFonts w:asciiTheme="majorHAnsi" w:hAnsiTheme="majorHAnsi" w:cstheme="majorHAnsi"/>
        </w:rPr>
      </w:pPr>
      <w:r>
        <w:rPr>
          <w:rFonts w:asciiTheme="majorHAnsi" w:hAnsiTheme="majorHAnsi" w:cstheme="majorHAnsi"/>
        </w:rPr>
        <w:t xml:space="preserve">Ideally, selected buildings will have management and contact personal interested in participating in the project and </w:t>
      </w:r>
      <w:r w:rsidR="00E8283D">
        <w:rPr>
          <w:rFonts w:asciiTheme="majorHAnsi" w:hAnsiTheme="majorHAnsi" w:cstheme="majorHAnsi"/>
        </w:rPr>
        <w:t>willing</w:t>
      </w:r>
      <w:r>
        <w:rPr>
          <w:rFonts w:asciiTheme="majorHAnsi" w:hAnsiTheme="majorHAnsi" w:cstheme="majorHAnsi"/>
        </w:rPr>
        <w:t xml:space="preserve"> to assist.</w:t>
      </w:r>
    </w:p>
    <w:p w:rsidR="007A3CAA" w:rsidRPr="00A76862" w:rsidRDefault="007A3CAA" w:rsidP="007A3CAA">
      <w:pPr>
        <w:rPr>
          <w:rFonts w:asciiTheme="majorHAnsi" w:hAnsiTheme="majorHAnsi" w:cstheme="majorHAnsi"/>
          <w:b/>
        </w:rPr>
      </w:pPr>
      <w:r w:rsidRPr="00A76862">
        <w:rPr>
          <w:rFonts w:asciiTheme="majorHAnsi" w:hAnsiTheme="majorHAnsi" w:cstheme="majorHAnsi"/>
          <w:b/>
        </w:rPr>
        <w:t>Required Building Documents</w:t>
      </w:r>
      <w:r>
        <w:rPr>
          <w:rFonts w:asciiTheme="majorHAnsi" w:hAnsiTheme="majorHAnsi" w:cstheme="majorHAnsi"/>
          <w:b/>
        </w:rPr>
        <w:t xml:space="preserve"> and Information</w:t>
      </w:r>
    </w:p>
    <w:p w:rsidR="007A3CAA" w:rsidRDefault="007A3CAA" w:rsidP="007A3CAA">
      <w:pPr>
        <w:rPr>
          <w:rFonts w:asciiTheme="majorHAnsi" w:hAnsiTheme="majorHAnsi" w:cstheme="majorHAnsi"/>
        </w:rPr>
      </w:pPr>
      <w:r>
        <w:rPr>
          <w:rFonts w:asciiTheme="majorHAnsi" w:hAnsiTheme="majorHAnsi" w:cstheme="majorHAnsi"/>
        </w:rPr>
        <w:t>Electrical plans including outdoor lighting plan and lighting fixture schedule</w:t>
      </w:r>
    </w:p>
    <w:p w:rsidR="007A3CAA" w:rsidRDefault="007A3CAA" w:rsidP="007A3CAA">
      <w:pPr>
        <w:rPr>
          <w:rFonts w:asciiTheme="majorHAnsi" w:hAnsiTheme="majorHAnsi" w:cstheme="majorHAnsi"/>
        </w:rPr>
      </w:pPr>
      <w:r>
        <w:rPr>
          <w:rFonts w:asciiTheme="majorHAnsi" w:hAnsiTheme="majorHAnsi" w:cstheme="majorHAnsi"/>
        </w:rPr>
        <w:t>For all on-site transformers</w:t>
      </w:r>
      <w:r w:rsidR="00A535F2">
        <w:rPr>
          <w:rFonts w:asciiTheme="majorHAnsi" w:hAnsiTheme="majorHAnsi" w:cstheme="majorHAnsi"/>
        </w:rPr>
        <w:t>, the following nameplate information</w:t>
      </w:r>
      <w:r>
        <w:rPr>
          <w:rFonts w:asciiTheme="majorHAnsi" w:hAnsiTheme="majorHAnsi" w:cstheme="majorHAnsi"/>
        </w:rPr>
        <w:t xml:space="preserve">: manufacturer </w:t>
      </w:r>
      <w:r w:rsidR="00A535F2">
        <w:rPr>
          <w:rFonts w:asciiTheme="majorHAnsi" w:hAnsiTheme="majorHAnsi" w:cstheme="majorHAnsi"/>
        </w:rPr>
        <w:t xml:space="preserve">name, model and date; capacity; </w:t>
      </w:r>
      <w:r w:rsidR="0078449F">
        <w:rPr>
          <w:rFonts w:asciiTheme="majorHAnsi" w:hAnsiTheme="majorHAnsi" w:cstheme="majorHAnsi"/>
        </w:rPr>
        <w:t xml:space="preserve">type (temperature rise); </w:t>
      </w:r>
      <w:r w:rsidR="00A535F2">
        <w:rPr>
          <w:rFonts w:asciiTheme="majorHAnsi" w:hAnsiTheme="majorHAnsi" w:cstheme="majorHAnsi"/>
        </w:rPr>
        <w:t xml:space="preserve">impedance; </w:t>
      </w:r>
      <w:r w:rsidR="00FF13EE">
        <w:rPr>
          <w:rFonts w:asciiTheme="majorHAnsi" w:hAnsiTheme="majorHAnsi" w:cstheme="majorHAnsi"/>
        </w:rPr>
        <w:t xml:space="preserve">k-factor rating; </w:t>
      </w:r>
      <w:r w:rsidR="00A535F2">
        <w:rPr>
          <w:rFonts w:asciiTheme="majorHAnsi" w:hAnsiTheme="majorHAnsi" w:cstheme="majorHAnsi"/>
        </w:rPr>
        <w:t>primary and secondary voltages (and currents where specified); primary and secondary winding connection type</w:t>
      </w:r>
    </w:p>
    <w:p w:rsidR="007A3CAA" w:rsidRDefault="007A3CAA" w:rsidP="007A3CAA">
      <w:pPr>
        <w:rPr>
          <w:rFonts w:asciiTheme="majorHAnsi" w:hAnsiTheme="majorHAnsi" w:cstheme="majorHAnsi"/>
        </w:rPr>
      </w:pPr>
      <w:r>
        <w:rPr>
          <w:rFonts w:asciiTheme="majorHAnsi" w:hAnsiTheme="majorHAnsi" w:cstheme="majorHAnsi"/>
        </w:rPr>
        <w:t>Mechanical plans with detailed HVAC and other mechanical equipment load information (including manufacturer and model information)</w:t>
      </w:r>
      <w:r w:rsidR="00712F4D">
        <w:rPr>
          <w:rFonts w:asciiTheme="majorHAnsi" w:hAnsiTheme="majorHAnsi" w:cstheme="majorHAnsi"/>
        </w:rPr>
        <w:t xml:space="preserve"> for mechanical loads powered by electricity </w:t>
      </w:r>
    </w:p>
    <w:p w:rsidR="007A3CAA" w:rsidRDefault="007A3CAA" w:rsidP="007A3CAA">
      <w:pPr>
        <w:rPr>
          <w:rFonts w:asciiTheme="majorHAnsi" w:hAnsiTheme="majorHAnsi" w:cstheme="majorHAnsi"/>
        </w:rPr>
      </w:pPr>
      <w:r>
        <w:rPr>
          <w:rFonts w:asciiTheme="majorHAnsi" w:hAnsiTheme="majorHAnsi" w:cstheme="majorHAnsi"/>
        </w:rPr>
        <w:t xml:space="preserve">Two-years of utility load data (including </w:t>
      </w:r>
      <w:r w:rsidR="00127C85">
        <w:rPr>
          <w:rFonts w:asciiTheme="majorHAnsi" w:hAnsiTheme="majorHAnsi" w:cstheme="majorHAnsi"/>
        </w:rPr>
        <w:t xml:space="preserve">the </w:t>
      </w:r>
      <w:r>
        <w:rPr>
          <w:rFonts w:asciiTheme="majorHAnsi" w:hAnsiTheme="majorHAnsi" w:cstheme="majorHAnsi"/>
        </w:rPr>
        <w:t xml:space="preserve">year of </w:t>
      </w:r>
      <w:r w:rsidR="00127C85">
        <w:rPr>
          <w:rFonts w:asciiTheme="majorHAnsi" w:hAnsiTheme="majorHAnsi" w:cstheme="majorHAnsi"/>
        </w:rPr>
        <w:t xml:space="preserve">which </w:t>
      </w:r>
      <w:r>
        <w:rPr>
          <w:rFonts w:asciiTheme="majorHAnsi" w:hAnsiTheme="majorHAnsi" w:cstheme="majorHAnsi"/>
        </w:rPr>
        <w:t>monitoring</w:t>
      </w:r>
      <w:r w:rsidR="00127C85">
        <w:rPr>
          <w:rFonts w:asciiTheme="majorHAnsi" w:hAnsiTheme="majorHAnsi" w:cstheme="majorHAnsi"/>
        </w:rPr>
        <w:t xml:space="preserve"> takes place</w:t>
      </w:r>
      <w:r>
        <w:rPr>
          <w:rFonts w:asciiTheme="majorHAnsi" w:hAnsiTheme="majorHAnsi" w:cstheme="majorHAnsi"/>
        </w:rPr>
        <w:t xml:space="preserve">) </w:t>
      </w:r>
    </w:p>
    <w:p w:rsidR="007A3CAA" w:rsidRDefault="007A3CAA" w:rsidP="007A3CAA">
      <w:pPr>
        <w:rPr>
          <w:rFonts w:asciiTheme="majorHAnsi" w:hAnsiTheme="majorHAnsi" w:cstheme="majorHAnsi"/>
        </w:rPr>
      </w:pPr>
      <w:r>
        <w:rPr>
          <w:rFonts w:asciiTheme="majorHAnsi" w:hAnsiTheme="majorHAnsi" w:cstheme="majorHAnsi"/>
        </w:rPr>
        <w:t xml:space="preserve">Building size (should be </w:t>
      </w:r>
      <w:r w:rsidR="00127C85">
        <w:rPr>
          <w:rFonts w:asciiTheme="majorHAnsi" w:hAnsiTheme="majorHAnsi" w:cstheme="majorHAnsi"/>
        </w:rPr>
        <w:t>part of</w:t>
      </w:r>
      <w:r>
        <w:rPr>
          <w:rFonts w:asciiTheme="majorHAnsi" w:hAnsiTheme="majorHAnsi" w:cstheme="majorHAnsi"/>
        </w:rPr>
        <w:t xml:space="preserve"> drawings)</w:t>
      </w:r>
    </w:p>
    <w:p w:rsidR="00621250" w:rsidRDefault="00BA28E8" w:rsidP="007A3CAA">
      <w:pPr>
        <w:rPr>
          <w:rFonts w:asciiTheme="majorHAnsi" w:hAnsiTheme="majorHAnsi" w:cstheme="majorHAnsi"/>
        </w:rPr>
      </w:pPr>
      <w:r>
        <w:rPr>
          <w:rFonts w:asciiTheme="majorHAnsi" w:hAnsiTheme="majorHAnsi" w:cstheme="majorHAnsi"/>
        </w:rPr>
        <w:t>General d</w:t>
      </w:r>
      <w:r w:rsidR="00621250">
        <w:rPr>
          <w:rFonts w:asciiTheme="majorHAnsi" w:hAnsiTheme="majorHAnsi" w:cstheme="majorHAnsi"/>
        </w:rPr>
        <w:t>escri</w:t>
      </w:r>
      <w:r>
        <w:rPr>
          <w:rFonts w:asciiTheme="majorHAnsi" w:hAnsiTheme="majorHAnsi" w:cstheme="majorHAnsi"/>
        </w:rPr>
        <w:t>ption of building function and how employees carry out work (in an office building, if work primarily conducted through telephone and computer use, do employee tasks involve engaging with the general public)</w:t>
      </w:r>
    </w:p>
    <w:p w:rsidR="00BA28E8" w:rsidRDefault="00711DC1" w:rsidP="007A3CAA">
      <w:pPr>
        <w:rPr>
          <w:rFonts w:asciiTheme="majorHAnsi" w:hAnsiTheme="majorHAnsi" w:cstheme="majorHAnsi"/>
        </w:rPr>
      </w:pPr>
      <w:r>
        <w:rPr>
          <w:rFonts w:asciiTheme="majorHAnsi" w:hAnsiTheme="majorHAnsi" w:cstheme="majorHAnsi"/>
        </w:rPr>
        <w:t>P</w:t>
      </w:r>
      <w:r w:rsidR="00BA28E8">
        <w:rPr>
          <w:rFonts w:asciiTheme="majorHAnsi" w:hAnsiTheme="majorHAnsi" w:cstheme="majorHAnsi"/>
        </w:rPr>
        <w:t xml:space="preserve">hotos </w:t>
      </w:r>
      <w:r>
        <w:rPr>
          <w:rFonts w:asciiTheme="majorHAnsi" w:hAnsiTheme="majorHAnsi" w:cstheme="majorHAnsi"/>
        </w:rPr>
        <w:t xml:space="preserve">of </w:t>
      </w:r>
      <w:r w:rsidR="00BA28E8">
        <w:rPr>
          <w:rFonts w:asciiTheme="majorHAnsi" w:hAnsiTheme="majorHAnsi" w:cstheme="majorHAnsi"/>
        </w:rPr>
        <w:t>building</w:t>
      </w:r>
      <w:r w:rsidR="00127C85">
        <w:rPr>
          <w:rFonts w:asciiTheme="majorHAnsi" w:hAnsiTheme="majorHAnsi" w:cstheme="majorHAnsi"/>
        </w:rPr>
        <w:t>,</w:t>
      </w:r>
      <w:r>
        <w:rPr>
          <w:rFonts w:asciiTheme="majorHAnsi" w:hAnsiTheme="majorHAnsi" w:cstheme="majorHAnsi"/>
        </w:rPr>
        <w:t xml:space="preserve"> representative interior spaces,</w:t>
      </w:r>
      <w:r w:rsidR="00127C85">
        <w:rPr>
          <w:rFonts w:asciiTheme="majorHAnsi" w:hAnsiTheme="majorHAnsi" w:cstheme="majorHAnsi"/>
        </w:rPr>
        <w:t xml:space="preserve"> and major equipment</w:t>
      </w:r>
      <w:r>
        <w:rPr>
          <w:rFonts w:asciiTheme="majorHAnsi" w:hAnsiTheme="majorHAnsi" w:cstheme="majorHAnsi"/>
        </w:rPr>
        <w:t xml:space="preserve"> including:</w:t>
      </w:r>
      <w:r w:rsidR="00BA28E8">
        <w:rPr>
          <w:rFonts w:asciiTheme="majorHAnsi" w:hAnsiTheme="majorHAnsi" w:cstheme="majorHAnsi"/>
        </w:rPr>
        <w:t xml:space="preserve"> parking lot, main entry, office areas, reception area, breakroom or kitchen, corridor, server/IT room, mechanical</w:t>
      </w:r>
      <w:r w:rsidR="00127C85">
        <w:rPr>
          <w:rFonts w:asciiTheme="majorHAnsi" w:hAnsiTheme="majorHAnsi" w:cstheme="majorHAnsi"/>
        </w:rPr>
        <w:t xml:space="preserve"> and electrical</w:t>
      </w:r>
      <w:r w:rsidR="00BA28E8">
        <w:rPr>
          <w:rFonts w:asciiTheme="majorHAnsi" w:hAnsiTheme="majorHAnsi" w:cstheme="majorHAnsi"/>
        </w:rPr>
        <w:t xml:space="preserve"> room,</w:t>
      </w:r>
      <w:r w:rsidR="00127C85">
        <w:rPr>
          <w:rFonts w:asciiTheme="majorHAnsi" w:hAnsiTheme="majorHAnsi" w:cstheme="majorHAnsi"/>
        </w:rPr>
        <w:t xml:space="preserve"> RTUs, transformers,</w:t>
      </w:r>
      <w:r w:rsidR="00BA28E8">
        <w:rPr>
          <w:rFonts w:asciiTheme="majorHAnsi" w:hAnsiTheme="majorHAnsi" w:cstheme="majorHAnsi"/>
        </w:rPr>
        <w:t xml:space="preserve"> etc.</w:t>
      </w:r>
    </w:p>
    <w:p w:rsidR="00711DC1" w:rsidRDefault="00711DC1" w:rsidP="00711DC1">
      <w:pPr>
        <w:rPr>
          <w:rFonts w:asciiTheme="majorHAnsi" w:hAnsiTheme="majorHAnsi" w:cstheme="majorHAnsi"/>
        </w:rPr>
      </w:pPr>
      <w:r>
        <w:rPr>
          <w:rFonts w:asciiTheme="majorHAnsi" w:hAnsiTheme="majorHAnsi" w:cstheme="majorHAnsi"/>
        </w:rPr>
        <w:t>Numbers of full-time and part-time employees and target number of employees (with quarterly updates during the monitoring period). Additional employee demographics on age, gender, and race desirable if available).</w:t>
      </w:r>
    </w:p>
    <w:p w:rsidR="00127C85" w:rsidRDefault="00127C85" w:rsidP="00127C85">
      <w:pPr>
        <w:rPr>
          <w:rFonts w:asciiTheme="majorHAnsi" w:hAnsiTheme="majorHAnsi" w:cstheme="majorHAnsi"/>
        </w:rPr>
      </w:pPr>
      <w:r>
        <w:rPr>
          <w:rFonts w:asciiTheme="majorHAnsi" w:hAnsiTheme="majorHAnsi" w:cstheme="majorHAnsi"/>
        </w:rPr>
        <w:t xml:space="preserve">If other buildings in addition to offices are selected for study, additional building benchmark information will need to be provided. For example, hospitals would need to provide number of beds and monthly reports on utilization. Education buildings would need to provide student capacity and utilization.  </w:t>
      </w:r>
    </w:p>
    <w:p w:rsidR="00711DC1" w:rsidRDefault="00AC5F6E" w:rsidP="007A3CAA">
      <w:pPr>
        <w:rPr>
          <w:rFonts w:asciiTheme="majorHAnsi" w:hAnsiTheme="majorHAnsi" w:cstheme="majorHAnsi"/>
        </w:rPr>
      </w:pPr>
      <w:r>
        <w:rPr>
          <w:rFonts w:asciiTheme="majorHAnsi" w:hAnsiTheme="majorHAnsi" w:cstheme="majorHAnsi"/>
        </w:rPr>
        <w:t>General building operating schedule and fixed or flex employee workhours on weekdays and weekends</w:t>
      </w:r>
    </w:p>
    <w:p w:rsidR="00711DC1" w:rsidRDefault="00AC5F6E" w:rsidP="007A3CAA">
      <w:pPr>
        <w:rPr>
          <w:rFonts w:asciiTheme="majorHAnsi" w:hAnsiTheme="majorHAnsi" w:cstheme="majorHAnsi"/>
        </w:rPr>
      </w:pPr>
      <w:r>
        <w:rPr>
          <w:rFonts w:asciiTheme="majorHAnsi" w:hAnsiTheme="majorHAnsi" w:cstheme="majorHAnsi"/>
        </w:rPr>
        <w:t>General building schedules for heating, cooling, and ventilation (</w:t>
      </w:r>
      <w:r w:rsidR="00847118">
        <w:rPr>
          <w:rFonts w:asciiTheme="majorHAnsi" w:hAnsiTheme="majorHAnsi" w:cstheme="majorHAnsi"/>
        </w:rPr>
        <w:t>automatic or manual, location specific;</w:t>
      </w:r>
      <w:r>
        <w:rPr>
          <w:rFonts w:asciiTheme="majorHAnsi" w:hAnsiTheme="majorHAnsi" w:cstheme="majorHAnsi"/>
        </w:rPr>
        <w:t xml:space="preserve"> fixed by time of day, day of week,</w:t>
      </w:r>
      <w:r w:rsidR="00847118">
        <w:rPr>
          <w:rFonts w:asciiTheme="majorHAnsi" w:hAnsiTheme="majorHAnsi" w:cstheme="majorHAnsi"/>
        </w:rPr>
        <w:t xml:space="preserve"> and/or season;</w:t>
      </w:r>
      <w:r>
        <w:rPr>
          <w:rFonts w:asciiTheme="majorHAnsi" w:hAnsiTheme="majorHAnsi" w:cstheme="majorHAnsi"/>
        </w:rPr>
        <w:t xml:space="preserve"> </w:t>
      </w:r>
      <w:r w:rsidR="00847118">
        <w:rPr>
          <w:rFonts w:asciiTheme="majorHAnsi" w:hAnsiTheme="majorHAnsi" w:cstheme="majorHAnsi"/>
        </w:rPr>
        <w:t xml:space="preserve">determined </w:t>
      </w:r>
      <w:r>
        <w:rPr>
          <w:rFonts w:asciiTheme="majorHAnsi" w:hAnsiTheme="majorHAnsi" w:cstheme="majorHAnsi"/>
        </w:rPr>
        <w:t>by employee comfort</w:t>
      </w:r>
      <w:r w:rsidR="00847118">
        <w:rPr>
          <w:rFonts w:asciiTheme="majorHAnsi" w:hAnsiTheme="majorHAnsi" w:cstheme="majorHAnsi"/>
        </w:rPr>
        <w:t xml:space="preserve"> or directly controlled by employee?</w:t>
      </w:r>
      <w:r>
        <w:rPr>
          <w:rFonts w:asciiTheme="majorHAnsi" w:hAnsiTheme="majorHAnsi" w:cstheme="majorHAnsi"/>
        </w:rPr>
        <w:t>)</w:t>
      </w:r>
    </w:p>
    <w:p w:rsidR="00AC5F6E" w:rsidRDefault="00847118" w:rsidP="007A3CAA">
      <w:pPr>
        <w:rPr>
          <w:rFonts w:asciiTheme="majorHAnsi" w:hAnsiTheme="majorHAnsi" w:cstheme="majorHAnsi"/>
        </w:rPr>
      </w:pPr>
      <w:r>
        <w:rPr>
          <w:rFonts w:asciiTheme="majorHAnsi" w:hAnsiTheme="majorHAnsi" w:cstheme="majorHAnsi"/>
        </w:rPr>
        <w:lastRenderedPageBreak/>
        <w:t>S</w:t>
      </w:r>
      <w:r w:rsidR="00AC5F6E">
        <w:rPr>
          <w:rFonts w:asciiTheme="majorHAnsi" w:hAnsiTheme="majorHAnsi" w:cstheme="majorHAnsi"/>
        </w:rPr>
        <w:t>chedule for lighting</w:t>
      </w:r>
      <w:r>
        <w:rPr>
          <w:rFonts w:asciiTheme="majorHAnsi" w:hAnsiTheme="majorHAnsi" w:cstheme="majorHAnsi"/>
        </w:rPr>
        <w:t xml:space="preserve"> operation</w:t>
      </w:r>
      <w:r w:rsidR="00AC5F6E">
        <w:rPr>
          <w:rFonts w:asciiTheme="majorHAnsi" w:hAnsiTheme="majorHAnsi" w:cstheme="majorHAnsi"/>
        </w:rPr>
        <w:t xml:space="preserve"> (</w:t>
      </w:r>
      <w:r>
        <w:rPr>
          <w:rFonts w:asciiTheme="majorHAnsi" w:hAnsiTheme="majorHAnsi" w:cstheme="majorHAnsi"/>
        </w:rPr>
        <w:t xml:space="preserve">automatic or manual, </w:t>
      </w:r>
      <w:r w:rsidR="00AC5F6E">
        <w:rPr>
          <w:rFonts w:asciiTheme="majorHAnsi" w:hAnsiTheme="majorHAnsi" w:cstheme="majorHAnsi"/>
        </w:rPr>
        <w:t xml:space="preserve">fixed by time of day, </w:t>
      </w:r>
      <w:r>
        <w:rPr>
          <w:rFonts w:asciiTheme="majorHAnsi" w:hAnsiTheme="majorHAnsi" w:cstheme="majorHAnsi"/>
        </w:rPr>
        <w:t>day of week</w:t>
      </w:r>
      <w:r w:rsidR="00127C85">
        <w:rPr>
          <w:rFonts w:asciiTheme="majorHAnsi" w:hAnsiTheme="majorHAnsi" w:cstheme="majorHAnsi"/>
        </w:rPr>
        <w:t xml:space="preserve">, </w:t>
      </w:r>
      <w:r>
        <w:rPr>
          <w:rFonts w:asciiTheme="majorHAnsi" w:hAnsiTheme="majorHAnsi" w:cstheme="majorHAnsi"/>
        </w:rPr>
        <w:t>season</w:t>
      </w:r>
      <w:r w:rsidR="00AC5F6E">
        <w:rPr>
          <w:rFonts w:asciiTheme="majorHAnsi" w:hAnsiTheme="majorHAnsi" w:cstheme="majorHAnsi"/>
        </w:rPr>
        <w:t>)</w:t>
      </w:r>
    </w:p>
    <w:p w:rsidR="00AC5F6E" w:rsidRDefault="00847118" w:rsidP="007A3CAA">
      <w:pPr>
        <w:rPr>
          <w:rFonts w:asciiTheme="majorHAnsi" w:hAnsiTheme="majorHAnsi" w:cstheme="majorHAnsi"/>
        </w:rPr>
      </w:pPr>
      <w:r>
        <w:rPr>
          <w:rFonts w:asciiTheme="majorHAnsi" w:hAnsiTheme="majorHAnsi" w:cstheme="majorHAnsi"/>
        </w:rPr>
        <w:t xml:space="preserve">Any building policies for turning </w:t>
      </w:r>
      <w:r w:rsidR="00127C85">
        <w:rPr>
          <w:rFonts w:asciiTheme="majorHAnsi" w:hAnsiTheme="majorHAnsi" w:cstheme="majorHAnsi"/>
        </w:rPr>
        <w:t xml:space="preserve">office equipment, </w:t>
      </w:r>
      <w:r>
        <w:rPr>
          <w:rFonts w:asciiTheme="majorHAnsi" w:hAnsiTheme="majorHAnsi" w:cstheme="majorHAnsi"/>
        </w:rPr>
        <w:t xml:space="preserve">computers and/or monitors off during weekdays, evenings, or weekends </w:t>
      </w:r>
    </w:p>
    <w:p w:rsidR="00911940" w:rsidRDefault="00911940" w:rsidP="007A3CAA">
      <w:pPr>
        <w:rPr>
          <w:rFonts w:asciiTheme="majorHAnsi" w:hAnsiTheme="majorHAnsi" w:cstheme="majorHAnsi"/>
        </w:rPr>
      </w:pPr>
      <w:r>
        <w:rPr>
          <w:rFonts w:asciiTheme="majorHAnsi" w:hAnsiTheme="majorHAnsi" w:cstheme="majorHAnsi"/>
        </w:rPr>
        <w:t>Inventory of items connected to receptacles (including manufacturer</w:t>
      </w:r>
      <w:r w:rsidR="007A7393">
        <w:rPr>
          <w:rFonts w:asciiTheme="majorHAnsi" w:hAnsiTheme="majorHAnsi" w:cstheme="majorHAnsi"/>
        </w:rPr>
        <w:t xml:space="preserve"> name and year</w:t>
      </w:r>
      <w:r>
        <w:rPr>
          <w:rFonts w:asciiTheme="majorHAnsi" w:hAnsiTheme="majorHAnsi" w:cstheme="majorHAnsi"/>
        </w:rPr>
        <w:t xml:space="preserve">, model, </w:t>
      </w:r>
      <w:r w:rsidR="007A7393">
        <w:rPr>
          <w:rFonts w:asciiTheme="majorHAnsi" w:hAnsiTheme="majorHAnsi" w:cstheme="majorHAnsi"/>
        </w:rPr>
        <w:t xml:space="preserve">power requirements if available). Receptacle inventories should be labeled by building floor and space areas </w:t>
      </w:r>
      <w:r w:rsidR="00127C85">
        <w:rPr>
          <w:rFonts w:asciiTheme="majorHAnsi" w:hAnsiTheme="majorHAnsi" w:cstheme="majorHAnsi"/>
        </w:rPr>
        <w:t xml:space="preserve">(as can be </w:t>
      </w:r>
      <w:r w:rsidR="007A7393">
        <w:rPr>
          <w:rFonts w:asciiTheme="majorHAnsi" w:hAnsiTheme="majorHAnsi" w:cstheme="majorHAnsi"/>
        </w:rPr>
        <w:t>identified on building plans</w:t>
      </w:r>
      <w:r w:rsidR="00127C85">
        <w:rPr>
          <w:rFonts w:asciiTheme="majorHAnsi" w:hAnsiTheme="majorHAnsi" w:cstheme="majorHAnsi"/>
        </w:rPr>
        <w:t>)</w:t>
      </w:r>
      <w:r w:rsidR="007A7393">
        <w:rPr>
          <w:rFonts w:asciiTheme="majorHAnsi" w:hAnsiTheme="majorHAnsi" w:cstheme="majorHAnsi"/>
        </w:rPr>
        <w:t>. Inventorie</w:t>
      </w:r>
      <w:r w:rsidR="00127C85">
        <w:rPr>
          <w:rFonts w:asciiTheme="majorHAnsi" w:hAnsiTheme="majorHAnsi" w:cstheme="majorHAnsi"/>
        </w:rPr>
        <w:t>s</w:t>
      </w:r>
      <w:r w:rsidR="007A7393">
        <w:rPr>
          <w:rFonts w:asciiTheme="majorHAnsi" w:hAnsiTheme="majorHAnsi" w:cstheme="majorHAnsi"/>
        </w:rPr>
        <w:t xml:space="preserve"> can be self-reported by employees</w:t>
      </w:r>
      <w:r w:rsidR="00DC5B0D">
        <w:rPr>
          <w:rFonts w:asciiTheme="majorHAnsi" w:hAnsiTheme="majorHAnsi" w:cstheme="majorHAnsi"/>
        </w:rPr>
        <w:t xml:space="preserve"> (including cleaning and maintenance staff)</w:t>
      </w:r>
      <w:r w:rsidR="007A7393">
        <w:rPr>
          <w:rFonts w:asciiTheme="majorHAnsi" w:hAnsiTheme="majorHAnsi" w:cstheme="majorHAnsi"/>
        </w:rPr>
        <w:t xml:space="preserve">, and updated </w:t>
      </w:r>
      <w:r w:rsidR="00DC5B0D">
        <w:rPr>
          <w:rFonts w:asciiTheme="majorHAnsi" w:hAnsiTheme="majorHAnsi" w:cstheme="majorHAnsi"/>
        </w:rPr>
        <w:t xml:space="preserve">or verified </w:t>
      </w:r>
      <w:r w:rsidR="007A7393">
        <w:rPr>
          <w:rFonts w:asciiTheme="majorHAnsi" w:hAnsiTheme="majorHAnsi" w:cstheme="majorHAnsi"/>
        </w:rPr>
        <w:t>quarterly.</w:t>
      </w:r>
      <w:r w:rsidR="00DC5B0D">
        <w:rPr>
          <w:rFonts w:asciiTheme="majorHAnsi" w:hAnsiTheme="majorHAnsi" w:cstheme="majorHAnsi"/>
        </w:rPr>
        <w:t xml:space="preserve"> The inventory list should also contain corded-equipment or tools (such as vacuum cleaners and drills) which are connected to receptacles on as-need basis. </w:t>
      </w:r>
    </w:p>
    <w:p w:rsidR="007A3CAA" w:rsidRDefault="007A3CAA" w:rsidP="007A3CAA">
      <w:pPr>
        <w:rPr>
          <w:rFonts w:asciiTheme="majorHAnsi" w:hAnsiTheme="majorHAnsi" w:cstheme="majorHAnsi"/>
          <w:b/>
        </w:rPr>
      </w:pPr>
      <w:r>
        <w:rPr>
          <w:rFonts w:asciiTheme="majorHAnsi" w:hAnsiTheme="majorHAnsi" w:cstheme="majorHAnsi"/>
          <w:b/>
        </w:rPr>
        <w:t>Site</w:t>
      </w:r>
      <w:r w:rsidRPr="00B44C3C">
        <w:rPr>
          <w:rFonts w:asciiTheme="majorHAnsi" w:hAnsiTheme="majorHAnsi" w:cstheme="majorHAnsi"/>
          <w:b/>
        </w:rPr>
        <w:t xml:space="preserve"> Monitoring</w:t>
      </w:r>
      <w:r>
        <w:rPr>
          <w:rFonts w:asciiTheme="majorHAnsi" w:hAnsiTheme="majorHAnsi" w:cstheme="majorHAnsi"/>
          <w:b/>
        </w:rPr>
        <w:t xml:space="preserve"> </w:t>
      </w:r>
    </w:p>
    <w:p w:rsidR="00665D80" w:rsidRDefault="00665D80" w:rsidP="00665D80">
      <w:pPr>
        <w:rPr>
          <w:rFonts w:asciiTheme="majorHAnsi" w:hAnsiTheme="majorHAnsi" w:cstheme="majorHAnsi"/>
          <w:b/>
          <w:color w:val="4472C4" w:themeColor="accent5"/>
        </w:rPr>
      </w:pPr>
      <w:r>
        <w:rPr>
          <w:rFonts w:asciiTheme="majorHAnsi" w:hAnsiTheme="majorHAnsi" w:cstheme="majorHAnsi"/>
          <w:b/>
          <w:color w:val="4472C4" w:themeColor="accent5"/>
        </w:rPr>
        <w:t>&lt;</w:t>
      </w:r>
      <w:r w:rsidRPr="009E3E02">
        <w:rPr>
          <w:rFonts w:asciiTheme="majorHAnsi" w:hAnsiTheme="majorHAnsi" w:cstheme="majorHAnsi"/>
          <w:b/>
          <w:color w:val="4472C4" w:themeColor="accent5"/>
        </w:rPr>
        <w:t xml:space="preserve">Your </w:t>
      </w:r>
      <w:r w:rsidR="00127C85">
        <w:rPr>
          <w:rFonts w:asciiTheme="majorHAnsi" w:hAnsiTheme="majorHAnsi" w:cstheme="majorHAnsi"/>
          <w:b/>
          <w:color w:val="4472C4" w:themeColor="accent5"/>
        </w:rPr>
        <w:t>input</w:t>
      </w:r>
      <w:r>
        <w:rPr>
          <w:rFonts w:asciiTheme="majorHAnsi" w:hAnsiTheme="majorHAnsi" w:cstheme="majorHAnsi"/>
          <w:b/>
          <w:color w:val="4472C4" w:themeColor="accent5"/>
        </w:rPr>
        <w:t xml:space="preserve"> here would be appreciated</w:t>
      </w:r>
      <w:r w:rsidRPr="009E3E02">
        <w:rPr>
          <w:rFonts w:asciiTheme="majorHAnsi" w:hAnsiTheme="majorHAnsi" w:cstheme="majorHAnsi"/>
          <w:b/>
          <w:color w:val="4472C4" w:themeColor="accent5"/>
        </w:rPr>
        <w:t>.</w:t>
      </w:r>
      <w:r>
        <w:rPr>
          <w:rFonts w:asciiTheme="majorHAnsi" w:hAnsiTheme="majorHAnsi" w:cstheme="majorHAnsi"/>
          <w:b/>
          <w:color w:val="4472C4" w:themeColor="accent5"/>
        </w:rPr>
        <w:t xml:space="preserve"> What level of monitoring is feasible, practical, and</w:t>
      </w:r>
      <w:r w:rsidR="00127C85">
        <w:rPr>
          <w:rFonts w:asciiTheme="majorHAnsi" w:hAnsiTheme="majorHAnsi" w:cstheme="majorHAnsi"/>
          <w:b/>
          <w:color w:val="4472C4" w:themeColor="accent5"/>
        </w:rPr>
        <w:t>/or</w:t>
      </w:r>
      <w:r>
        <w:rPr>
          <w:rFonts w:asciiTheme="majorHAnsi" w:hAnsiTheme="majorHAnsi" w:cstheme="majorHAnsi"/>
          <w:b/>
          <w:color w:val="4472C4" w:themeColor="accent5"/>
        </w:rPr>
        <w:t xml:space="preserve"> </w:t>
      </w:r>
      <w:proofErr w:type="gramStart"/>
      <w:r>
        <w:rPr>
          <w:rFonts w:asciiTheme="majorHAnsi" w:hAnsiTheme="majorHAnsi" w:cstheme="majorHAnsi"/>
          <w:b/>
          <w:color w:val="4472C4" w:themeColor="accent5"/>
        </w:rPr>
        <w:t>doable.</w:t>
      </w:r>
      <w:proofErr w:type="gramEnd"/>
      <w:r w:rsidR="000E21A1">
        <w:rPr>
          <w:rFonts w:asciiTheme="majorHAnsi" w:hAnsiTheme="majorHAnsi" w:cstheme="majorHAnsi"/>
          <w:b/>
          <w:color w:val="4472C4" w:themeColor="accent5"/>
        </w:rPr>
        <w:t xml:space="preserve"> All monitoring suggested here would not be practical for hospital monitoring as part of university campus study.</w:t>
      </w:r>
      <w:r>
        <w:rPr>
          <w:rFonts w:asciiTheme="majorHAnsi" w:hAnsiTheme="majorHAnsi" w:cstheme="majorHAnsi"/>
          <w:b/>
          <w:color w:val="4472C4" w:themeColor="accent5"/>
        </w:rPr>
        <w:t>&gt;</w:t>
      </w:r>
    </w:p>
    <w:p w:rsidR="00216012" w:rsidRDefault="007A3CAA" w:rsidP="00216012">
      <w:pPr>
        <w:rPr>
          <w:rFonts w:asciiTheme="majorHAnsi" w:hAnsiTheme="majorHAnsi" w:cstheme="majorHAnsi"/>
        </w:rPr>
      </w:pPr>
      <w:r>
        <w:rPr>
          <w:rFonts w:asciiTheme="majorHAnsi" w:hAnsiTheme="majorHAnsi" w:cstheme="majorHAnsi"/>
        </w:rPr>
        <w:t>The following require continuous one-year monitoring</w:t>
      </w:r>
      <w:r w:rsidR="009E3E02">
        <w:rPr>
          <w:rFonts w:asciiTheme="majorHAnsi" w:hAnsiTheme="majorHAnsi" w:cstheme="majorHAnsi"/>
        </w:rPr>
        <w:t xml:space="preserve"> of current, voltage, and power</w:t>
      </w:r>
      <w:r w:rsidR="001E4364">
        <w:rPr>
          <w:rFonts w:asciiTheme="majorHAnsi" w:hAnsiTheme="majorHAnsi" w:cstheme="majorHAnsi"/>
        </w:rPr>
        <w:t>. Some project sponsors like government agencies may prefer monit</w:t>
      </w:r>
      <w:r w:rsidR="00216012">
        <w:rPr>
          <w:rFonts w:asciiTheme="majorHAnsi" w:hAnsiTheme="majorHAnsi" w:cstheme="majorHAnsi"/>
        </w:rPr>
        <w:t xml:space="preserve">oring all sites </w:t>
      </w:r>
      <w:r w:rsidR="001E4364">
        <w:rPr>
          <w:rFonts w:asciiTheme="majorHAnsi" w:hAnsiTheme="majorHAnsi" w:cstheme="majorHAnsi"/>
        </w:rPr>
        <w:t>during a single calendar year beginning on January 1 and ending on December</w:t>
      </w:r>
      <w:r w:rsidR="00216012">
        <w:rPr>
          <w:rFonts w:asciiTheme="majorHAnsi" w:hAnsiTheme="majorHAnsi" w:cstheme="majorHAnsi"/>
        </w:rPr>
        <w:t xml:space="preserve"> 31. Otherwise, it may be easier to begin monitoring once a suitable monitoring site has been identified and the site is ready to participate</w:t>
      </w:r>
      <w:r w:rsidR="000E21A1">
        <w:rPr>
          <w:rFonts w:asciiTheme="majorHAnsi" w:hAnsiTheme="majorHAnsi" w:cstheme="majorHAnsi"/>
        </w:rPr>
        <w:t>;</w:t>
      </w:r>
      <w:r w:rsidR="00216012">
        <w:rPr>
          <w:rFonts w:asciiTheme="majorHAnsi" w:hAnsiTheme="majorHAnsi" w:cstheme="majorHAnsi"/>
        </w:rPr>
        <w:t xml:space="preserve"> conducted in this manner, the window of data collection for all sites should be </w:t>
      </w:r>
      <w:r w:rsidR="000E21A1">
        <w:rPr>
          <w:rFonts w:asciiTheme="majorHAnsi" w:hAnsiTheme="majorHAnsi" w:cstheme="majorHAnsi"/>
        </w:rPr>
        <w:t>18</w:t>
      </w:r>
      <w:r w:rsidR="00216012">
        <w:rPr>
          <w:rFonts w:asciiTheme="majorHAnsi" w:hAnsiTheme="majorHAnsi" w:cstheme="majorHAnsi"/>
        </w:rPr>
        <w:t xml:space="preserve"> months or less. </w:t>
      </w:r>
    </w:p>
    <w:p w:rsidR="007A3CAA" w:rsidRPr="009E3E02" w:rsidRDefault="007A3CAA" w:rsidP="009E3E02">
      <w:pPr>
        <w:pStyle w:val="ListParagraph"/>
        <w:numPr>
          <w:ilvl w:val="0"/>
          <w:numId w:val="9"/>
        </w:numPr>
        <w:ind w:left="720"/>
        <w:rPr>
          <w:rFonts w:asciiTheme="majorHAnsi" w:hAnsiTheme="majorHAnsi" w:cstheme="majorHAnsi"/>
        </w:rPr>
      </w:pPr>
      <w:r w:rsidRPr="009E3E02">
        <w:rPr>
          <w:rFonts w:asciiTheme="majorHAnsi" w:hAnsiTheme="majorHAnsi" w:cstheme="majorHAnsi"/>
        </w:rPr>
        <w:t>Main service feeder (may be provided as electric utility data</w:t>
      </w:r>
      <w:r w:rsidR="00004C9F">
        <w:rPr>
          <w:rFonts w:asciiTheme="majorHAnsi" w:hAnsiTheme="majorHAnsi" w:cstheme="majorHAnsi"/>
        </w:rPr>
        <w:t>, but need current and voltage harmonic content</w:t>
      </w:r>
      <w:r w:rsidRPr="009E3E02">
        <w:rPr>
          <w:rFonts w:asciiTheme="majorHAnsi" w:hAnsiTheme="majorHAnsi" w:cstheme="majorHAnsi"/>
        </w:rPr>
        <w:t>)</w:t>
      </w:r>
    </w:p>
    <w:p w:rsidR="007A3CAA" w:rsidRPr="001E4364" w:rsidRDefault="007A3CAA" w:rsidP="009E3E02">
      <w:pPr>
        <w:pStyle w:val="ListParagraph"/>
        <w:numPr>
          <w:ilvl w:val="0"/>
          <w:numId w:val="2"/>
        </w:numPr>
        <w:rPr>
          <w:rFonts w:asciiTheme="majorHAnsi" w:hAnsiTheme="majorHAnsi" w:cstheme="majorHAnsi"/>
        </w:rPr>
      </w:pPr>
      <w:r w:rsidRPr="001E4364">
        <w:rPr>
          <w:rFonts w:asciiTheme="majorHAnsi" w:hAnsiTheme="majorHAnsi" w:cstheme="majorHAnsi"/>
        </w:rPr>
        <w:t>All feeders supplying panels (</w:t>
      </w:r>
      <w:r w:rsidR="000E21A1">
        <w:rPr>
          <w:rFonts w:asciiTheme="majorHAnsi" w:hAnsiTheme="majorHAnsi" w:cstheme="majorHAnsi"/>
        </w:rPr>
        <w:t>will</w:t>
      </w:r>
      <w:r w:rsidRPr="001E4364">
        <w:rPr>
          <w:rFonts w:asciiTheme="majorHAnsi" w:hAnsiTheme="majorHAnsi" w:cstheme="majorHAnsi"/>
        </w:rPr>
        <w:t xml:space="preserve"> also provide information about transformer loading)</w:t>
      </w:r>
    </w:p>
    <w:p w:rsidR="009E3E02" w:rsidRDefault="007A3CAA" w:rsidP="009E3E02">
      <w:pPr>
        <w:pStyle w:val="ListParagraph"/>
        <w:numPr>
          <w:ilvl w:val="0"/>
          <w:numId w:val="2"/>
        </w:numPr>
        <w:rPr>
          <w:rFonts w:asciiTheme="majorHAnsi" w:hAnsiTheme="majorHAnsi" w:cstheme="majorHAnsi"/>
        </w:rPr>
      </w:pPr>
      <w:r w:rsidRPr="001E4364">
        <w:rPr>
          <w:rFonts w:asciiTheme="majorHAnsi" w:hAnsiTheme="majorHAnsi" w:cstheme="majorHAnsi"/>
        </w:rPr>
        <w:t xml:space="preserve">All individual loads rated over 10 kVA, including any RTUs, elevator motors, dock equipment, water heaters, and large pumps. Exception: When HVAC equipment such as fan powered terminals and fixed space heating equipment are </w:t>
      </w:r>
      <w:r w:rsidR="000E21A1">
        <w:rPr>
          <w:rFonts w:asciiTheme="majorHAnsi" w:hAnsiTheme="majorHAnsi" w:cstheme="majorHAnsi"/>
        </w:rPr>
        <w:t>fed</w:t>
      </w:r>
      <w:r w:rsidRPr="001E4364">
        <w:rPr>
          <w:rFonts w:asciiTheme="majorHAnsi" w:hAnsiTheme="majorHAnsi" w:cstheme="majorHAnsi"/>
        </w:rPr>
        <w:t xml:space="preserve"> </w:t>
      </w:r>
      <w:r w:rsidR="000E21A1">
        <w:rPr>
          <w:rFonts w:asciiTheme="majorHAnsi" w:hAnsiTheme="majorHAnsi" w:cstheme="majorHAnsi"/>
        </w:rPr>
        <w:t>from</w:t>
      </w:r>
      <w:r w:rsidRPr="001E4364">
        <w:rPr>
          <w:rFonts w:asciiTheme="majorHAnsi" w:hAnsiTheme="majorHAnsi" w:cstheme="majorHAnsi"/>
        </w:rPr>
        <w:t xml:space="preserve"> a dedicated panel, monitoring the panel is sufficient.</w:t>
      </w:r>
    </w:p>
    <w:p w:rsidR="009E3E02" w:rsidRPr="009E3E02" w:rsidRDefault="009E3E02" w:rsidP="009E3E02">
      <w:pPr>
        <w:pStyle w:val="ListParagraph"/>
        <w:numPr>
          <w:ilvl w:val="0"/>
          <w:numId w:val="2"/>
        </w:numPr>
        <w:rPr>
          <w:rFonts w:asciiTheme="majorHAnsi" w:hAnsiTheme="majorHAnsi" w:cstheme="majorHAnsi"/>
        </w:rPr>
      </w:pPr>
      <w:r>
        <w:rPr>
          <w:rFonts w:asciiTheme="majorHAnsi" w:hAnsiTheme="majorHAnsi" w:cstheme="majorHAnsi"/>
        </w:rPr>
        <w:t xml:space="preserve">In addition, current harmonics </w:t>
      </w:r>
      <w:r w:rsidR="0065594D">
        <w:rPr>
          <w:rFonts w:asciiTheme="majorHAnsi" w:hAnsiTheme="majorHAnsi" w:cstheme="majorHAnsi"/>
        </w:rPr>
        <w:t xml:space="preserve">and power </w:t>
      </w:r>
      <w:r>
        <w:rPr>
          <w:rFonts w:asciiTheme="majorHAnsi" w:hAnsiTheme="majorHAnsi" w:cstheme="majorHAnsi"/>
        </w:rPr>
        <w:t>should be monitored on all feeders supplying transformers</w:t>
      </w:r>
      <w:r w:rsidR="000E21A1">
        <w:rPr>
          <w:rFonts w:asciiTheme="majorHAnsi" w:hAnsiTheme="majorHAnsi" w:cstheme="majorHAnsi"/>
        </w:rPr>
        <w:t>.</w:t>
      </w:r>
      <w:r w:rsidR="0065594D">
        <w:rPr>
          <w:rFonts w:asciiTheme="majorHAnsi" w:hAnsiTheme="majorHAnsi" w:cstheme="majorHAnsi"/>
        </w:rPr>
        <w:t xml:space="preserve"> (</w:t>
      </w:r>
      <w:r w:rsidR="000E21A1">
        <w:rPr>
          <w:rFonts w:asciiTheme="majorHAnsi" w:hAnsiTheme="majorHAnsi" w:cstheme="majorHAnsi"/>
        </w:rPr>
        <w:t>Power</w:t>
      </w:r>
      <w:r w:rsidR="0065594D">
        <w:rPr>
          <w:rFonts w:asciiTheme="majorHAnsi" w:hAnsiTheme="majorHAnsi" w:cstheme="majorHAnsi"/>
        </w:rPr>
        <w:t xml:space="preserve"> loss </w:t>
      </w:r>
      <w:r w:rsidR="000E21A1">
        <w:rPr>
          <w:rFonts w:asciiTheme="majorHAnsi" w:hAnsiTheme="majorHAnsi" w:cstheme="majorHAnsi"/>
        </w:rPr>
        <w:t>c</w:t>
      </w:r>
      <w:r w:rsidR="0065594D">
        <w:rPr>
          <w:rFonts w:asciiTheme="majorHAnsi" w:hAnsiTheme="majorHAnsi" w:cstheme="majorHAnsi"/>
        </w:rPr>
        <w:t>alculat</w:t>
      </w:r>
      <w:r w:rsidR="000E21A1">
        <w:rPr>
          <w:rFonts w:asciiTheme="majorHAnsi" w:hAnsiTheme="majorHAnsi" w:cstheme="majorHAnsi"/>
        </w:rPr>
        <w:t xml:space="preserve">ed as </w:t>
      </w:r>
      <w:r w:rsidR="0065594D">
        <w:rPr>
          <w:rFonts w:asciiTheme="majorHAnsi" w:hAnsiTheme="majorHAnsi" w:cstheme="majorHAnsi"/>
        </w:rPr>
        <w:t xml:space="preserve">power supplied to </w:t>
      </w:r>
      <w:r w:rsidR="000E21A1">
        <w:rPr>
          <w:rFonts w:asciiTheme="majorHAnsi" w:hAnsiTheme="majorHAnsi" w:cstheme="majorHAnsi"/>
        </w:rPr>
        <w:t xml:space="preserve">feeder supplying </w:t>
      </w:r>
      <w:r w:rsidR="0065594D">
        <w:rPr>
          <w:rFonts w:asciiTheme="majorHAnsi" w:hAnsiTheme="majorHAnsi" w:cstheme="majorHAnsi"/>
        </w:rPr>
        <w:t xml:space="preserve">transformer </w:t>
      </w:r>
      <w:r w:rsidR="000E21A1">
        <w:rPr>
          <w:rFonts w:asciiTheme="majorHAnsi" w:hAnsiTheme="majorHAnsi" w:cstheme="majorHAnsi"/>
        </w:rPr>
        <w:t xml:space="preserve">subtracted </w:t>
      </w:r>
      <w:r w:rsidR="0065594D">
        <w:rPr>
          <w:rFonts w:asciiTheme="majorHAnsi" w:hAnsiTheme="majorHAnsi" w:cstheme="majorHAnsi"/>
        </w:rPr>
        <w:t>from power supplied to downstream feeder</w:t>
      </w:r>
      <w:r w:rsidR="000E21A1">
        <w:rPr>
          <w:rFonts w:asciiTheme="majorHAnsi" w:hAnsiTheme="majorHAnsi" w:cstheme="majorHAnsi"/>
        </w:rPr>
        <w:t xml:space="preserve"> supplying panel</w:t>
      </w:r>
      <w:r w:rsidR="0065594D">
        <w:rPr>
          <w:rFonts w:asciiTheme="majorHAnsi" w:hAnsiTheme="majorHAnsi" w:cstheme="majorHAnsi"/>
        </w:rPr>
        <w:t xml:space="preserve">) </w:t>
      </w:r>
    </w:p>
    <w:p w:rsidR="007A3CAA" w:rsidRDefault="007A3CAA" w:rsidP="007A3CAA">
      <w:pPr>
        <w:rPr>
          <w:rFonts w:asciiTheme="majorHAnsi" w:hAnsiTheme="majorHAnsi" w:cstheme="majorHAnsi"/>
        </w:rPr>
      </w:pPr>
      <w:r>
        <w:rPr>
          <w:rFonts w:asciiTheme="majorHAnsi" w:hAnsiTheme="majorHAnsi" w:cstheme="majorHAnsi"/>
        </w:rPr>
        <w:t xml:space="preserve">Ideally the lighting panels would be dedicated to lighting load. However, if other </w:t>
      </w:r>
      <w:r w:rsidR="000F646C">
        <w:rPr>
          <w:rFonts w:asciiTheme="majorHAnsi" w:hAnsiTheme="majorHAnsi" w:cstheme="majorHAnsi"/>
        </w:rPr>
        <w:t xml:space="preserve">are </w:t>
      </w:r>
      <w:r>
        <w:rPr>
          <w:rFonts w:asciiTheme="majorHAnsi" w:hAnsiTheme="majorHAnsi" w:cstheme="majorHAnsi"/>
        </w:rPr>
        <w:t>loads fed from lighting panels, they should be continuously monitored individually, unless they represent less than 20% of the panel’s demand load.</w:t>
      </w:r>
    </w:p>
    <w:p w:rsidR="007A3CAA" w:rsidRDefault="007A3CAA" w:rsidP="007A3CAA">
      <w:pPr>
        <w:rPr>
          <w:rFonts w:asciiTheme="majorHAnsi" w:hAnsiTheme="majorHAnsi" w:cstheme="majorHAnsi"/>
        </w:rPr>
      </w:pPr>
      <w:r>
        <w:rPr>
          <w:rFonts w:asciiTheme="majorHAnsi" w:hAnsiTheme="majorHAnsi" w:cstheme="majorHAnsi"/>
        </w:rPr>
        <w:t xml:space="preserve">In larger buildings supplied by 480V, </w:t>
      </w:r>
      <w:r w:rsidR="000F646C">
        <w:rPr>
          <w:rFonts w:asciiTheme="majorHAnsi" w:hAnsiTheme="majorHAnsi" w:cstheme="majorHAnsi"/>
        </w:rPr>
        <w:t>208</w:t>
      </w:r>
      <w:r w:rsidR="00D66CB6">
        <w:rPr>
          <w:rFonts w:asciiTheme="majorHAnsi" w:hAnsiTheme="majorHAnsi" w:cstheme="majorHAnsi"/>
        </w:rPr>
        <w:t>V</w:t>
      </w:r>
      <w:r>
        <w:rPr>
          <w:rFonts w:asciiTheme="majorHAnsi" w:hAnsiTheme="majorHAnsi" w:cstheme="majorHAnsi"/>
        </w:rPr>
        <w:t xml:space="preserve"> panels primarily serve receptacle load. However, a wide range of miscellaneous equipment may also be served; these loads include ductless air conditioners and heat pumps, water heaters, low-voltage lighting, and smaller mechanical loads including dock equipment, pumps, fans, and electric vehicle charging stations. </w:t>
      </w:r>
    </w:p>
    <w:p w:rsidR="007A3CAA" w:rsidRDefault="007A3CAA" w:rsidP="007A3CAA">
      <w:pPr>
        <w:rPr>
          <w:rFonts w:asciiTheme="majorHAnsi" w:hAnsiTheme="majorHAnsi" w:cstheme="majorHAnsi"/>
        </w:rPr>
      </w:pPr>
      <w:r>
        <w:rPr>
          <w:rFonts w:asciiTheme="majorHAnsi" w:hAnsiTheme="majorHAnsi" w:cstheme="majorHAnsi"/>
        </w:rPr>
        <w:t xml:space="preserve">Ideally, the building will have low-voltage panels dedicated to receptacle load. But even monitoring dedicated receptacle panels will not provide sufficient information about receptacle load. </w:t>
      </w:r>
      <w:r w:rsidR="00D66CB6">
        <w:rPr>
          <w:rFonts w:asciiTheme="majorHAnsi" w:hAnsiTheme="majorHAnsi" w:cstheme="majorHAnsi"/>
        </w:rPr>
        <w:t>R</w:t>
      </w:r>
      <w:r>
        <w:rPr>
          <w:rFonts w:asciiTheme="majorHAnsi" w:hAnsiTheme="majorHAnsi" w:cstheme="majorHAnsi"/>
        </w:rPr>
        <w:t>eceptacles are placed throughout buildings to provide convenient and easy access to electric power</w:t>
      </w:r>
      <w:r w:rsidR="00D66CB6">
        <w:rPr>
          <w:rFonts w:asciiTheme="majorHAnsi" w:hAnsiTheme="majorHAnsi" w:cstheme="majorHAnsi"/>
        </w:rPr>
        <w:t>;</w:t>
      </w:r>
      <w:r>
        <w:rPr>
          <w:rFonts w:asciiTheme="majorHAnsi" w:hAnsiTheme="majorHAnsi" w:cstheme="majorHAnsi"/>
        </w:rPr>
        <w:t xml:space="preserve"> </w:t>
      </w:r>
      <w:r w:rsidR="00D66CB6">
        <w:rPr>
          <w:rFonts w:asciiTheme="majorHAnsi" w:hAnsiTheme="majorHAnsi" w:cstheme="majorHAnsi"/>
        </w:rPr>
        <w:t>i</w:t>
      </w:r>
      <w:r>
        <w:rPr>
          <w:rFonts w:asciiTheme="majorHAnsi" w:hAnsiTheme="majorHAnsi" w:cstheme="majorHAnsi"/>
        </w:rPr>
        <w:t xml:space="preserve">n office buildings, </w:t>
      </w:r>
      <w:r w:rsidR="00D66CB6">
        <w:rPr>
          <w:rFonts w:asciiTheme="majorHAnsi" w:hAnsiTheme="majorHAnsi" w:cstheme="majorHAnsi"/>
        </w:rPr>
        <w:t xml:space="preserve">receptacle </w:t>
      </w:r>
      <w:r>
        <w:rPr>
          <w:rFonts w:asciiTheme="majorHAnsi" w:hAnsiTheme="majorHAnsi" w:cstheme="majorHAnsi"/>
        </w:rPr>
        <w:t xml:space="preserve">locations include office areas, conference rooms, breakrooms, kitchens, restrooms, hallways, reception areas, filing and storage rooms, server/IT </w:t>
      </w:r>
      <w:r>
        <w:rPr>
          <w:rFonts w:asciiTheme="majorHAnsi" w:hAnsiTheme="majorHAnsi" w:cstheme="majorHAnsi"/>
        </w:rPr>
        <w:lastRenderedPageBreak/>
        <w:t>rooms, and exercise rooms. Receptacle load var</w:t>
      </w:r>
      <w:r w:rsidR="00D66CB6">
        <w:rPr>
          <w:rFonts w:asciiTheme="majorHAnsi" w:hAnsiTheme="majorHAnsi" w:cstheme="majorHAnsi"/>
        </w:rPr>
        <w:t>ies</w:t>
      </w:r>
      <w:r>
        <w:rPr>
          <w:rFonts w:asciiTheme="majorHAnsi" w:hAnsiTheme="majorHAnsi" w:cstheme="majorHAnsi"/>
        </w:rPr>
        <w:t xml:space="preserve"> according to space, </w:t>
      </w:r>
      <w:r w:rsidR="00D66CB6">
        <w:rPr>
          <w:rFonts w:asciiTheme="majorHAnsi" w:hAnsiTheme="majorHAnsi" w:cstheme="majorHAnsi"/>
        </w:rPr>
        <w:t>s</w:t>
      </w:r>
      <w:r>
        <w:rPr>
          <w:rFonts w:asciiTheme="majorHAnsi" w:hAnsiTheme="majorHAnsi" w:cstheme="majorHAnsi"/>
        </w:rPr>
        <w:t>cheduling</w:t>
      </w:r>
      <w:r w:rsidR="00D66CB6">
        <w:rPr>
          <w:rFonts w:asciiTheme="majorHAnsi" w:hAnsiTheme="majorHAnsi" w:cstheme="majorHAnsi"/>
        </w:rPr>
        <w:t>, time of day, and day of week</w:t>
      </w:r>
      <w:r>
        <w:rPr>
          <w:rFonts w:asciiTheme="majorHAnsi" w:hAnsiTheme="majorHAnsi" w:cstheme="majorHAnsi"/>
        </w:rPr>
        <w:t>.</w:t>
      </w:r>
      <w:r w:rsidR="00D66CB6">
        <w:rPr>
          <w:rFonts w:asciiTheme="majorHAnsi" w:hAnsiTheme="majorHAnsi" w:cstheme="majorHAnsi"/>
        </w:rPr>
        <w:t xml:space="preserve"> </w:t>
      </w:r>
      <w:r>
        <w:rPr>
          <w:rFonts w:asciiTheme="majorHAnsi" w:hAnsiTheme="majorHAnsi" w:cstheme="majorHAnsi"/>
        </w:rPr>
        <w:t xml:space="preserve"> </w:t>
      </w:r>
    </w:p>
    <w:p w:rsidR="007A3CAA" w:rsidRDefault="007A3CAA" w:rsidP="007A3CAA">
      <w:pPr>
        <w:rPr>
          <w:rFonts w:asciiTheme="majorHAnsi" w:hAnsiTheme="majorHAnsi" w:cstheme="majorHAnsi"/>
        </w:rPr>
      </w:pPr>
      <w:r>
        <w:rPr>
          <w:rFonts w:asciiTheme="majorHAnsi" w:hAnsiTheme="majorHAnsi" w:cstheme="majorHAnsi"/>
        </w:rPr>
        <w:t xml:space="preserve">Branch circuit monitoring for </w:t>
      </w:r>
      <w:r w:rsidR="00DC5B0D">
        <w:rPr>
          <w:rFonts w:asciiTheme="majorHAnsi" w:hAnsiTheme="majorHAnsi" w:cstheme="majorHAnsi"/>
        </w:rPr>
        <w:t>two</w:t>
      </w:r>
      <w:r w:rsidR="008C341A">
        <w:rPr>
          <w:rStyle w:val="FootnoteReference"/>
          <w:rFonts w:asciiTheme="majorHAnsi" w:hAnsiTheme="majorHAnsi" w:cstheme="majorHAnsi"/>
        </w:rPr>
        <w:footnoteReference w:id="1"/>
      </w:r>
      <w:r>
        <w:rPr>
          <w:rFonts w:asciiTheme="majorHAnsi" w:hAnsiTheme="majorHAnsi" w:cstheme="majorHAnsi"/>
        </w:rPr>
        <w:t xml:space="preserve"> month</w:t>
      </w:r>
      <w:r w:rsidR="00DC5B0D">
        <w:rPr>
          <w:rFonts w:asciiTheme="majorHAnsi" w:hAnsiTheme="majorHAnsi" w:cstheme="majorHAnsi"/>
        </w:rPr>
        <w:t>s</w:t>
      </w:r>
      <w:r>
        <w:rPr>
          <w:rFonts w:asciiTheme="majorHAnsi" w:hAnsiTheme="majorHAnsi" w:cstheme="majorHAnsi"/>
        </w:rPr>
        <w:t xml:space="preserve"> is needed on low-voltage panels serving receptacle load. This monitoring would ideally occur during the coldest months </w:t>
      </w:r>
      <w:r w:rsidR="00DC5B0D">
        <w:rPr>
          <w:rFonts w:asciiTheme="majorHAnsi" w:hAnsiTheme="majorHAnsi" w:cstheme="majorHAnsi"/>
        </w:rPr>
        <w:t xml:space="preserve">if task lighting needs are higher seasonally or </w:t>
      </w:r>
      <w:r>
        <w:rPr>
          <w:rFonts w:asciiTheme="majorHAnsi" w:hAnsiTheme="majorHAnsi" w:cstheme="majorHAnsi"/>
        </w:rPr>
        <w:t>if portable he</w:t>
      </w:r>
      <w:r w:rsidR="007D5E9D">
        <w:rPr>
          <w:rFonts w:asciiTheme="majorHAnsi" w:hAnsiTheme="majorHAnsi" w:cstheme="majorHAnsi"/>
        </w:rPr>
        <w:t>ater usage is a common practice, although portable fans and dehumidifiers may also be used seasonally during warmer months.</w:t>
      </w:r>
      <w:r w:rsidR="00DC5B0D">
        <w:rPr>
          <w:rFonts w:asciiTheme="majorHAnsi" w:hAnsiTheme="majorHAnsi" w:cstheme="majorHAnsi"/>
        </w:rPr>
        <w:t xml:space="preserve"> </w:t>
      </w:r>
      <w:r>
        <w:rPr>
          <w:rFonts w:asciiTheme="majorHAnsi" w:hAnsiTheme="majorHAnsi" w:cstheme="majorHAnsi"/>
        </w:rPr>
        <w:t xml:space="preserve"> </w:t>
      </w:r>
    </w:p>
    <w:p w:rsidR="009E3E02" w:rsidRDefault="009E3E02" w:rsidP="007A3CAA">
      <w:pPr>
        <w:rPr>
          <w:rFonts w:asciiTheme="majorHAnsi" w:hAnsiTheme="majorHAnsi" w:cstheme="majorHAnsi"/>
          <w:b/>
        </w:rPr>
      </w:pPr>
      <w:r w:rsidRPr="009E3E02">
        <w:rPr>
          <w:rFonts w:asciiTheme="majorHAnsi" w:hAnsiTheme="majorHAnsi" w:cstheme="majorHAnsi"/>
          <w:b/>
        </w:rPr>
        <w:t>Monitoring Equipment</w:t>
      </w:r>
    </w:p>
    <w:p w:rsidR="009E3E02" w:rsidRDefault="005142D0" w:rsidP="007A3CAA">
      <w:pPr>
        <w:rPr>
          <w:rFonts w:asciiTheme="majorHAnsi" w:hAnsiTheme="majorHAnsi" w:cstheme="majorHAnsi"/>
          <w:b/>
          <w:color w:val="4472C4" w:themeColor="accent5"/>
        </w:rPr>
      </w:pPr>
      <w:r>
        <w:rPr>
          <w:rFonts w:asciiTheme="majorHAnsi" w:hAnsiTheme="majorHAnsi" w:cstheme="majorHAnsi"/>
          <w:b/>
          <w:color w:val="4472C4" w:themeColor="accent5"/>
        </w:rPr>
        <w:t>&lt;</w:t>
      </w:r>
      <w:r w:rsidR="009E3E02" w:rsidRPr="009E3E02">
        <w:rPr>
          <w:rFonts w:asciiTheme="majorHAnsi" w:hAnsiTheme="majorHAnsi" w:cstheme="majorHAnsi"/>
          <w:b/>
          <w:color w:val="4472C4" w:themeColor="accent5"/>
        </w:rPr>
        <w:t xml:space="preserve">Your </w:t>
      </w:r>
      <w:r w:rsidR="00127C85">
        <w:rPr>
          <w:rFonts w:asciiTheme="majorHAnsi" w:hAnsiTheme="majorHAnsi" w:cstheme="majorHAnsi"/>
          <w:b/>
          <w:color w:val="4472C4" w:themeColor="accent5"/>
        </w:rPr>
        <w:t>input</w:t>
      </w:r>
      <w:r w:rsidR="00DC5B0D">
        <w:rPr>
          <w:rFonts w:asciiTheme="majorHAnsi" w:hAnsiTheme="majorHAnsi" w:cstheme="majorHAnsi"/>
          <w:b/>
          <w:color w:val="4472C4" w:themeColor="accent5"/>
        </w:rPr>
        <w:t xml:space="preserve"> here would be appreciated</w:t>
      </w:r>
      <w:r w:rsidR="009E3E02">
        <w:rPr>
          <w:rFonts w:asciiTheme="majorHAnsi" w:hAnsiTheme="majorHAnsi" w:cstheme="majorHAnsi"/>
          <w:b/>
          <w:color w:val="4472C4" w:themeColor="accent5"/>
        </w:rPr>
        <w:t>.</w:t>
      </w:r>
      <w:r>
        <w:rPr>
          <w:rFonts w:asciiTheme="majorHAnsi" w:hAnsiTheme="majorHAnsi" w:cstheme="majorHAnsi"/>
          <w:b/>
          <w:color w:val="4472C4" w:themeColor="accent5"/>
        </w:rPr>
        <w:t>&gt;</w:t>
      </w:r>
    </w:p>
    <w:p w:rsidR="009E3E02" w:rsidRDefault="009E3E02" w:rsidP="007A3CAA">
      <w:pPr>
        <w:rPr>
          <w:rFonts w:asciiTheme="majorHAnsi" w:hAnsiTheme="majorHAnsi" w:cstheme="majorHAnsi"/>
          <w:color w:val="000000" w:themeColor="text1"/>
        </w:rPr>
      </w:pPr>
      <w:r>
        <w:rPr>
          <w:rFonts w:asciiTheme="majorHAnsi" w:hAnsiTheme="majorHAnsi" w:cstheme="majorHAnsi"/>
          <w:color w:val="000000" w:themeColor="text1"/>
        </w:rPr>
        <w:t>Minimum accuracy requirements</w:t>
      </w:r>
      <w:r w:rsidR="00975388">
        <w:rPr>
          <w:rFonts w:asciiTheme="majorHAnsi" w:hAnsiTheme="majorHAnsi" w:cstheme="majorHAnsi"/>
          <w:color w:val="000000" w:themeColor="text1"/>
        </w:rPr>
        <w:t xml:space="preserve"> and sampling frequency</w:t>
      </w:r>
    </w:p>
    <w:p w:rsidR="009E3E02" w:rsidRDefault="009E3E02" w:rsidP="007A3CAA">
      <w:pPr>
        <w:rPr>
          <w:rFonts w:asciiTheme="majorHAnsi" w:hAnsiTheme="majorHAnsi" w:cstheme="majorHAnsi"/>
          <w:color w:val="000000" w:themeColor="text1"/>
        </w:rPr>
      </w:pPr>
      <w:r>
        <w:rPr>
          <w:rFonts w:asciiTheme="majorHAnsi" w:hAnsiTheme="majorHAnsi" w:cstheme="majorHAnsi"/>
          <w:color w:val="000000" w:themeColor="text1"/>
        </w:rPr>
        <w:t>Ease</w:t>
      </w:r>
      <w:r w:rsidR="005142D0">
        <w:rPr>
          <w:rFonts w:asciiTheme="majorHAnsi" w:hAnsiTheme="majorHAnsi" w:cstheme="majorHAnsi"/>
          <w:color w:val="000000" w:themeColor="text1"/>
        </w:rPr>
        <w:t>, type (non-invasive and permanent?)</w:t>
      </w:r>
      <w:r>
        <w:rPr>
          <w:rFonts w:asciiTheme="majorHAnsi" w:hAnsiTheme="majorHAnsi" w:cstheme="majorHAnsi"/>
          <w:color w:val="000000" w:themeColor="text1"/>
        </w:rPr>
        <w:t xml:space="preserve"> and method of installation</w:t>
      </w:r>
    </w:p>
    <w:p w:rsidR="009E3E02" w:rsidRDefault="009E3E02" w:rsidP="007A3CAA">
      <w:pPr>
        <w:rPr>
          <w:rFonts w:asciiTheme="majorHAnsi" w:hAnsiTheme="majorHAnsi" w:cstheme="majorHAnsi"/>
          <w:color w:val="000000" w:themeColor="text1"/>
        </w:rPr>
      </w:pPr>
      <w:r>
        <w:rPr>
          <w:rFonts w:asciiTheme="majorHAnsi" w:hAnsiTheme="majorHAnsi" w:cstheme="majorHAnsi"/>
          <w:color w:val="000000" w:themeColor="text1"/>
        </w:rPr>
        <w:t xml:space="preserve">Data logging and </w:t>
      </w:r>
      <w:r w:rsidR="005142D0">
        <w:rPr>
          <w:rFonts w:asciiTheme="majorHAnsi" w:hAnsiTheme="majorHAnsi" w:cstheme="majorHAnsi"/>
          <w:color w:val="000000" w:themeColor="text1"/>
        </w:rPr>
        <w:t>transmittal</w:t>
      </w:r>
    </w:p>
    <w:p w:rsidR="009E3E02" w:rsidRDefault="009E3E02" w:rsidP="007A3CAA">
      <w:pPr>
        <w:rPr>
          <w:rFonts w:asciiTheme="majorHAnsi" w:hAnsiTheme="majorHAnsi" w:cstheme="majorHAnsi"/>
          <w:color w:val="000000" w:themeColor="text1"/>
        </w:rPr>
      </w:pPr>
      <w:r>
        <w:rPr>
          <w:rFonts w:asciiTheme="majorHAnsi" w:hAnsiTheme="majorHAnsi" w:cstheme="majorHAnsi"/>
          <w:color w:val="000000" w:themeColor="text1"/>
        </w:rPr>
        <w:t>Project would need to provide equipment, unless the project is sponsored by universities</w:t>
      </w:r>
      <w:r w:rsidR="007D5E9D">
        <w:rPr>
          <w:rFonts w:asciiTheme="majorHAnsi" w:hAnsiTheme="majorHAnsi" w:cstheme="majorHAnsi"/>
          <w:color w:val="000000" w:themeColor="text1"/>
        </w:rPr>
        <w:t xml:space="preserve"> using their own equipment</w:t>
      </w:r>
      <w:r>
        <w:rPr>
          <w:rFonts w:asciiTheme="majorHAnsi" w:hAnsiTheme="majorHAnsi" w:cstheme="majorHAnsi"/>
          <w:color w:val="000000" w:themeColor="text1"/>
        </w:rPr>
        <w:t>.</w:t>
      </w:r>
    </w:p>
    <w:p w:rsidR="009E3E02" w:rsidRPr="009E3E02" w:rsidRDefault="005142D0" w:rsidP="007A3CAA">
      <w:pPr>
        <w:rPr>
          <w:rFonts w:asciiTheme="majorHAnsi" w:hAnsiTheme="majorHAnsi" w:cstheme="majorHAnsi"/>
          <w:color w:val="000000" w:themeColor="text1"/>
        </w:rPr>
      </w:pPr>
      <w:r>
        <w:rPr>
          <w:rFonts w:asciiTheme="majorHAnsi" w:hAnsiTheme="majorHAnsi" w:cstheme="majorHAnsi"/>
          <w:color w:val="000000" w:themeColor="text1"/>
        </w:rPr>
        <w:t xml:space="preserve">Suggestions for manufacturer websites for monitoring equipment? Any specific types or models recommended? </w:t>
      </w:r>
    </w:p>
    <w:p w:rsidR="001E4364" w:rsidRDefault="001E4364" w:rsidP="007A3CAA">
      <w:pPr>
        <w:rPr>
          <w:rFonts w:asciiTheme="majorHAnsi" w:hAnsiTheme="majorHAnsi" w:cstheme="majorHAnsi"/>
          <w:b/>
        </w:rPr>
      </w:pPr>
      <w:r w:rsidRPr="001E4364">
        <w:rPr>
          <w:rFonts w:asciiTheme="majorHAnsi" w:hAnsiTheme="majorHAnsi" w:cstheme="majorHAnsi"/>
          <w:b/>
        </w:rPr>
        <w:t xml:space="preserve">Data </w:t>
      </w:r>
      <w:r w:rsidR="00216012">
        <w:rPr>
          <w:rFonts w:asciiTheme="majorHAnsi" w:hAnsiTheme="majorHAnsi" w:cstheme="majorHAnsi"/>
          <w:b/>
        </w:rPr>
        <w:t>Collection</w:t>
      </w:r>
    </w:p>
    <w:p w:rsidR="00975388" w:rsidRDefault="00975388" w:rsidP="007A3CAA">
      <w:pPr>
        <w:rPr>
          <w:rFonts w:asciiTheme="majorHAnsi" w:hAnsiTheme="majorHAnsi" w:cstheme="majorHAnsi"/>
        </w:rPr>
      </w:pPr>
      <w:r>
        <w:rPr>
          <w:rFonts w:asciiTheme="majorHAnsi" w:hAnsiTheme="majorHAnsi" w:cstheme="majorHAnsi"/>
        </w:rPr>
        <w:t xml:space="preserve">Project management will generate documents to more systematically collect building information from building contact personnel. Preferred document form is an Excel file for easy organization and analysis. Excel files </w:t>
      </w:r>
      <w:r w:rsidR="007D5E9D">
        <w:rPr>
          <w:rFonts w:asciiTheme="majorHAnsi" w:hAnsiTheme="majorHAnsi" w:cstheme="majorHAnsi"/>
        </w:rPr>
        <w:t>might also</w:t>
      </w:r>
      <w:r>
        <w:rPr>
          <w:rFonts w:asciiTheme="majorHAnsi" w:hAnsiTheme="majorHAnsi" w:cstheme="majorHAnsi"/>
        </w:rPr>
        <w:t xml:space="preserve"> be transformed for use in Access. </w:t>
      </w:r>
    </w:p>
    <w:p w:rsidR="00EE182C" w:rsidRDefault="00216012" w:rsidP="007A3CAA">
      <w:pPr>
        <w:rPr>
          <w:rFonts w:asciiTheme="majorHAnsi" w:hAnsiTheme="majorHAnsi" w:cstheme="majorHAnsi"/>
        </w:rPr>
      </w:pPr>
      <w:r>
        <w:rPr>
          <w:rFonts w:asciiTheme="majorHAnsi" w:hAnsiTheme="majorHAnsi" w:cstheme="majorHAnsi"/>
        </w:rPr>
        <w:t xml:space="preserve">An internet location should be provided for monitoring site </w:t>
      </w:r>
      <w:r w:rsidR="007D5E9D">
        <w:rPr>
          <w:rFonts w:asciiTheme="majorHAnsi" w:hAnsiTheme="majorHAnsi" w:cstheme="majorHAnsi"/>
        </w:rPr>
        <w:t>to upload</w:t>
      </w:r>
      <w:r>
        <w:rPr>
          <w:rFonts w:asciiTheme="majorHAnsi" w:hAnsiTheme="majorHAnsi" w:cstheme="majorHAnsi"/>
        </w:rPr>
        <w:t xml:space="preserve"> requested documentation and information and data. Monitoring sites should provide monitoring data on a monthly basis </w:t>
      </w:r>
      <w:r w:rsidR="007D5E9D">
        <w:rPr>
          <w:rFonts w:asciiTheme="majorHAnsi" w:hAnsiTheme="majorHAnsi" w:cstheme="majorHAnsi"/>
        </w:rPr>
        <w:t>(</w:t>
      </w:r>
      <w:r>
        <w:rPr>
          <w:rFonts w:asciiTheme="majorHAnsi" w:hAnsiTheme="majorHAnsi" w:cstheme="majorHAnsi"/>
        </w:rPr>
        <w:t>or more frequently</w:t>
      </w:r>
      <w:r w:rsidR="007D5E9D">
        <w:rPr>
          <w:rFonts w:asciiTheme="majorHAnsi" w:hAnsiTheme="majorHAnsi" w:cstheme="majorHAnsi"/>
        </w:rPr>
        <w:t>)</w:t>
      </w:r>
      <w:r>
        <w:rPr>
          <w:rFonts w:asciiTheme="majorHAnsi" w:hAnsiTheme="majorHAnsi" w:cstheme="majorHAnsi"/>
        </w:rPr>
        <w:t xml:space="preserve">. </w:t>
      </w:r>
    </w:p>
    <w:p w:rsidR="00EE182C" w:rsidRPr="00EE182C" w:rsidRDefault="00EE182C" w:rsidP="007A3CAA">
      <w:pPr>
        <w:rPr>
          <w:rFonts w:asciiTheme="majorHAnsi" w:hAnsiTheme="majorHAnsi" w:cstheme="majorHAnsi"/>
          <w:b/>
        </w:rPr>
      </w:pPr>
      <w:r w:rsidRPr="00EE182C">
        <w:rPr>
          <w:rFonts w:asciiTheme="majorHAnsi" w:hAnsiTheme="majorHAnsi" w:cstheme="majorHAnsi"/>
          <w:b/>
        </w:rPr>
        <w:t>Data Analysis</w:t>
      </w:r>
    </w:p>
    <w:p w:rsidR="00317A9D" w:rsidRDefault="00317A9D" w:rsidP="007A7393">
      <w:pPr>
        <w:spacing w:line="252" w:lineRule="auto"/>
      </w:pPr>
      <w:r>
        <w:t xml:space="preserve">Evaluation of Lighting Load </w:t>
      </w:r>
    </w:p>
    <w:p w:rsidR="00317A9D" w:rsidRDefault="00317A9D" w:rsidP="00317A9D">
      <w:pPr>
        <w:pStyle w:val="ListParagraph"/>
        <w:numPr>
          <w:ilvl w:val="0"/>
          <w:numId w:val="3"/>
        </w:numPr>
        <w:spacing w:line="252" w:lineRule="auto"/>
        <w:jc w:val="both"/>
      </w:pPr>
      <w:r>
        <w:t>Review electrical</w:t>
      </w:r>
      <w:r w:rsidR="00711DC1">
        <w:t xml:space="preserve"> drawings and lighting schedule; note primary type of lighting used in different building spaces.</w:t>
      </w:r>
      <w:r>
        <w:t xml:space="preserve"> </w:t>
      </w:r>
    </w:p>
    <w:p w:rsidR="00BD7622" w:rsidRDefault="000052A7" w:rsidP="00317A9D">
      <w:pPr>
        <w:pStyle w:val="ListParagraph"/>
        <w:numPr>
          <w:ilvl w:val="0"/>
          <w:numId w:val="3"/>
        </w:numPr>
        <w:spacing w:line="252" w:lineRule="auto"/>
        <w:jc w:val="both"/>
      </w:pPr>
      <w:r>
        <w:t>Calculate building lighting power densities from connected and demand load</w:t>
      </w:r>
      <w:r w:rsidR="00BD7622">
        <w:t xml:space="preserve"> on panel schedules. Compare with NEC lighting power density. (If time and building layout permits, calculating lighting power density for office area specifically may be a useful comparison.)</w:t>
      </w:r>
    </w:p>
    <w:p w:rsidR="00317A9D" w:rsidRDefault="00317A9D" w:rsidP="00574422">
      <w:pPr>
        <w:pStyle w:val="ListParagraph"/>
        <w:numPr>
          <w:ilvl w:val="0"/>
          <w:numId w:val="3"/>
        </w:numPr>
        <w:spacing w:line="252" w:lineRule="auto"/>
        <w:jc w:val="both"/>
      </w:pPr>
      <w:r>
        <w:t xml:space="preserve">Review </w:t>
      </w:r>
      <w:r w:rsidR="00806168">
        <w:t>measured</w:t>
      </w:r>
      <w:r>
        <w:t xml:space="preserve"> data</w:t>
      </w:r>
      <w:r w:rsidR="00CA5309">
        <w:t>. O</w:t>
      </w:r>
      <w:r w:rsidR="003277B2">
        <w:t>bserve</w:t>
      </w:r>
      <w:r>
        <w:t xml:space="preserve"> any hourly</w:t>
      </w:r>
      <w:r w:rsidR="00806168">
        <w:t>, weekly, and seasonal pattern</w:t>
      </w:r>
      <w:r>
        <w:t>s.</w:t>
      </w:r>
      <w:r w:rsidR="00574422">
        <w:t xml:space="preserve"> Record peak</w:t>
      </w:r>
      <w:r w:rsidR="00784D0D">
        <w:t xml:space="preserve"> power</w:t>
      </w:r>
      <w:r w:rsidR="00574422">
        <w:t>. Calculate mean power and other useful statistic</w:t>
      </w:r>
      <w:r w:rsidR="00346831">
        <w:t>s</w:t>
      </w:r>
      <w:r w:rsidR="00574422">
        <w:t>.</w:t>
      </w:r>
    </w:p>
    <w:p w:rsidR="00BD7622" w:rsidRDefault="00BD7622" w:rsidP="00317A9D">
      <w:pPr>
        <w:pStyle w:val="ListParagraph"/>
        <w:numPr>
          <w:ilvl w:val="0"/>
          <w:numId w:val="3"/>
        </w:numPr>
        <w:spacing w:line="252" w:lineRule="auto"/>
        <w:jc w:val="both"/>
      </w:pPr>
      <w:r>
        <w:t xml:space="preserve">Compare measured data with panel </w:t>
      </w:r>
      <w:r w:rsidR="007D5E9D">
        <w:t xml:space="preserve">schedule </w:t>
      </w:r>
      <w:r>
        <w:t>connected and demand load.</w:t>
      </w:r>
      <w:r w:rsidR="00574422">
        <w:t xml:space="preserve"> </w:t>
      </w:r>
    </w:p>
    <w:p w:rsidR="00BD7622" w:rsidRDefault="00BD7622" w:rsidP="007A7393">
      <w:pPr>
        <w:pStyle w:val="ListParagraph"/>
        <w:numPr>
          <w:ilvl w:val="0"/>
          <w:numId w:val="3"/>
        </w:numPr>
        <w:spacing w:line="252" w:lineRule="auto"/>
        <w:jc w:val="both"/>
      </w:pPr>
      <w:r>
        <w:t xml:space="preserve">As feasible from measured data, calculate peak and mean lighting power densities. Compare with power densities in </w:t>
      </w:r>
      <w:r w:rsidR="00346831">
        <w:t>S</w:t>
      </w:r>
      <w:r>
        <w:t xml:space="preserve">tep 2. </w:t>
      </w:r>
    </w:p>
    <w:p w:rsidR="00317A9D" w:rsidRDefault="00317A9D" w:rsidP="00317A9D">
      <w:r>
        <w:lastRenderedPageBreak/>
        <w:t>Evaluation of Receptacle Load</w:t>
      </w:r>
    </w:p>
    <w:p w:rsidR="00CA5309" w:rsidRDefault="00317A9D" w:rsidP="00317A9D">
      <w:pPr>
        <w:pStyle w:val="ListParagraph"/>
        <w:numPr>
          <w:ilvl w:val="0"/>
          <w:numId w:val="4"/>
        </w:numPr>
        <w:spacing w:line="252" w:lineRule="auto"/>
        <w:jc w:val="both"/>
      </w:pPr>
      <w:r>
        <w:t xml:space="preserve">Review electrical drawings. </w:t>
      </w:r>
      <w:r w:rsidR="00CA5309">
        <w:t>As feasible</w:t>
      </w:r>
      <w:r w:rsidR="007D5E9D">
        <w:t xml:space="preserve"> with time constraint</w:t>
      </w:r>
      <w:r w:rsidR="00CA5309">
        <w:t>, r</w:t>
      </w:r>
      <w:r>
        <w:t xml:space="preserve">ecord the number of receptacles assigned to each branch circuit. Compare receptacle count with connected and demand load listed on receptacle panel and the main distribution panel schedules. </w:t>
      </w:r>
    </w:p>
    <w:p w:rsidR="00317A9D" w:rsidRDefault="00317A9D" w:rsidP="00317A9D">
      <w:pPr>
        <w:pStyle w:val="ListParagraph"/>
        <w:numPr>
          <w:ilvl w:val="0"/>
          <w:numId w:val="4"/>
        </w:numPr>
        <w:spacing w:line="252" w:lineRule="auto"/>
        <w:jc w:val="both"/>
      </w:pPr>
      <w:r>
        <w:t xml:space="preserve">Review </w:t>
      </w:r>
      <w:r w:rsidR="00CA5309">
        <w:t>measured</w:t>
      </w:r>
      <w:r>
        <w:t xml:space="preserve"> data</w:t>
      </w:r>
      <w:r w:rsidR="00CA5309">
        <w:t>. Observe</w:t>
      </w:r>
      <w:r>
        <w:t xml:space="preserve"> </w:t>
      </w:r>
      <w:r w:rsidR="00634B19">
        <w:t xml:space="preserve">any </w:t>
      </w:r>
      <w:r>
        <w:t>hourly</w:t>
      </w:r>
      <w:r w:rsidR="00634B19">
        <w:t>, weekly, and seasonal patterns</w:t>
      </w:r>
      <w:r>
        <w:t>.</w:t>
      </w:r>
      <w:r w:rsidR="00346831">
        <w:t xml:space="preserve"> Record peak</w:t>
      </w:r>
      <w:r w:rsidR="00784D0D">
        <w:t xml:space="preserve"> power</w:t>
      </w:r>
      <w:r w:rsidR="00346831">
        <w:t>. Calculate mean power and other useful statistics.</w:t>
      </w:r>
    </w:p>
    <w:p w:rsidR="00346831" w:rsidRDefault="00346831" w:rsidP="00346831">
      <w:pPr>
        <w:pStyle w:val="ListParagraph"/>
        <w:numPr>
          <w:ilvl w:val="0"/>
          <w:numId w:val="4"/>
        </w:numPr>
        <w:spacing w:line="252" w:lineRule="auto"/>
        <w:jc w:val="both"/>
      </w:pPr>
      <w:r>
        <w:t xml:space="preserve">Compare measured data with panel </w:t>
      </w:r>
      <w:r w:rsidR="00FE26E8">
        <w:t xml:space="preserve">schedule </w:t>
      </w:r>
      <w:r>
        <w:t xml:space="preserve">connected and demand load. </w:t>
      </w:r>
    </w:p>
    <w:p w:rsidR="00317A9D" w:rsidRDefault="00346831" w:rsidP="00317A9D">
      <w:pPr>
        <w:pStyle w:val="ListParagraph"/>
        <w:numPr>
          <w:ilvl w:val="0"/>
          <w:numId w:val="4"/>
        </w:numPr>
        <w:spacing w:line="252" w:lineRule="auto"/>
        <w:jc w:val="both"/>
      </w:pPr>
      <w:r>
        <w:t xml:space="preserve">With results of Step 3, comment on </w:t>
      </w:r>
      <w:r w:rsidR="00634B19">
        <w:t>NEC receptacle VA requirements and receptacle load after demand factor</w:t>
      </w:r>
      <w:r w:rsidR="00FE26E8">
        <w:t>s</w:t>
      </w:r>
      <w:r w:rsidR="00634B19">
        <w:t xml:space="preserve"> applied.</w:t>
      </w:r>
    </w:p>
    <w:p w:rsidR="00317A9D" w:rsidRDefault="00634B19" w:rsidP="00317A9D">
      <w:pPr>
        <w:pStyle w:val="ListParagraph"/>
        <w:numPr>
          <w:ilvl w:val="0"/>
          <w:numId w:val="4"/>
        </w:numPr>
        <w:spacing w:line="252" w:lineRule="auto"/>
        <w:jc w:val="both"/>
      </w:pPr>
      <w:r>
        <w:t xml:space="preserve">Review receptacle inventory. As </w:t>
      </w:r>
      <w:r w:rsidR="00911940">
        <w:t xml:space="preserve">feasible and </w:t>
      </w:r>
      <w:r>
        <w:t xml:space="preserve">time permits, </w:t>
      </w:r>
      <w:r w:rsidR="00665D80">
        <w:t>analyze</w:t>
      </w:r>
      <w:r>
        <w:t xml:space="preserve"> power requirements of the </w:t>
      </w:r>
      <w:r w:rsidR="00665D80">
        <w:t xml:space="preserve">inventoried plug-in equipment and compare with measured load and calculated load. Comment on NEC receptacle VA requirements. </w:t>
      </w:r>
    </w:p>
    <w:p w:rsidR="00317A9D" w:rsidRDefault="00317A9D" w:rsidP="00317A9D">
      <w:r>
        <w:t>Evaluation of Other Loads</w:t>
      </w:r>
    </w:p>
    <w:p w:rsidR="00600727" w:rsidRDefault="00600727" w:rsidP="00317A9D">
      <w:pPr>
        <w:pStyle w:val="ListParagraph"/>
        <w:numPr>
          <w:ilvl w:val="0"/>
          <w:numId w:val="5"/>
        </w:numPr>
        <w:spacing w:line="252" w:lineRule="auto"/>
        <w:jc w:val="both"/>
      </w:pPr>
      <w:r>
        <w:t xml:space="preserve">Review electrical and mechanical drawings and panel schedules. Note presence or absence of electrical heating, cooling, and hot water equipment. Note connected and demand load for “large” loads (over 10kVA) and any panels which exclusively serve one type of equipment (other than lighting and receptacle). </w:t>
      </w:r>
    </w:p>
    <w:p w:rsidR="00317A9D" w:rsidRDefault="00574422" w:rsidP="00317A9D">
      <w:pPr>
        <w:pStyle w:val="ListParagraph"/>
        <w:numPr>
          <w:ilvl w:val="0"/>
          <w:numId w:val="5"/>
        </w:numPr>
        <w:spacing w:line="252" w:lineRule="auto"/>
        <w:jc w:val="both"/>
      </w:pPr>
      <w:r>
        <w:t>As feasible, c</w:t>
      </w:r>
      <w:r w:rsidR="00317A9D">
        <w:t xml:space="preserve">ompare </w:t>
      </w:r>
      <w:r w:rsidR="00FE26E8">
        <w:t xml:space="preserve">panel </w:t>
      </w:r>
      <w:r w:rsidR="00600727">
        <w:t>schedule</w:t>
      </w:r>
      <w:r w:rsidR="00317A9D">
        <w:t xml:space="preserve"> connected and demand load</w:t>
      </w:r>
      <w:r w:rsidR="00FE26E8">
        <w:t xml:space="preserve"> requirements</w:t>
      </w:r>
      <w:r w:rsidR="00317A9D">
        <w:t xml:space="preserve"> </w:t>
      </w:r>
      <w:r w:rsidR="00600727">
        <w:t>with power requirements listed on mechanical schedule</w:t>
      </w:r>
      <w:r w:rsidR="00FE26E8">
        <w:t>.</w:t>
      </w:r>
      <w:r w:rsidR="00600727">
        <w:t xml:space="preserve"> (</w:t>
      </w:r>
      <w:r w:rsidR="00FE26E8">
        <w:t>I</w:t>
      </w:r>
      <w:r w:rsidR="00600727">
        <w:t>deally these will be manufacturer requirements</w:t>
      </w:r>
      <w:r>
        <w:t xml:space="preserve">, if not look up manufacturer requirements as time </w:t>
      </w:r>
      <w:r w:rsidR="00FE26E8">
        <w:t>constraints and feasibility</w:t>
      </w:r>
      <w:r>
        <w:t xml:space="preserve"> permit</w:t>
      </w:r>
      <w:r w:rsidR="00600727">
        <w:t>).</w:t>
      </w:r>
    </w:p>
    <w:p w:rsidR="00574422" w:rsidRDefault="00574422" w:rsidP="00574422">
      <w:pPr>
        <w:pStyle w:val="ListParagraph"/>
        <w:numPr>
          <w:ilvl w:val="0"/>
          <w:numId w:val="5"/>
        </w:numPr>
        <w:spacing w:line="252" w:lineRule="auto"/>
        <w:jc w:val="both"/>
      </w:pPr>
      <w:r>
        <w:t>Review measured data. Observe any hourly, weekly, and seasonal patterns.</w:t>
      </w:r>
      <w:r w:rsidR="00346831">
        <w:t xml:space="preserve"> Record peak</w:t>
      </w:r>
      <w:r w:rsidR="00784D0D">
        <w:t xml:space="preserve"> power.</w:t>
      </w:r>
      <w:r w:rsidR="00346831">
        <w:t xml:space="preserve"> </w:t>
      </w:r>
      <w:r w:rsidR="00784D0D">
        <w:t xml:space="preserve">Calculate mean power </w:t>
      </w:r>
      <w:r w:rsidR="00346831">
        <w:t>and other useful statistics.</w:t>
      </w:r>
    </w:p>
    <w:p w:rsidR="00784D0D" w:rsidRDefault="00784D0D" w:rsidP="00574422">
      <w:pPr>
        <w:pStyle w:val="ListParagraph"/>
        <w:numPr>
          <w:ilvl w:val="0"/>
          <w:numId w:val="5"/>
        </w:numPr>
        <w:spacing w:line="252" w:lineRule="auto"/>
        <w:jc w:val="both"/>
      </w:pPr>
      <w:r>
        <w:t xml:space="preserve">Compare measured data with </w:t>
      </w:r>
      <w:r w:rsidR="00FE26E8">
        <w:t>panel connected and demand load, and also with manufacturer requirements for any “large” loads monitored.</w:t>
      </w:r>
      <w:r>
        <w:t xml:space="preserve"> </w:t>
      </w:r>
    </w:p>
    <w:p w:rsidR="00317A9D" w:rsidRDefault="00317A9D" w:rsidP="00317A9D">
      <w:r>
        <w:t xml:space="preserve">Evaluation of </w:t>
      </w:r>
      <w:r w:rsidR="00553D50">
        <w:t>In-House Feeder</w:t>
      </w:r>
      <w:r w:rsidR="00443BBE">
        <w:t xml:space="preserve"> </w:t>
      </w:r>
      <w:r>
        <w:t>Siz</w:t>
      </w:r>
      <w:r w:rsidR="00443BBE">
        <w:t>ing</w:t>
      </w:r>
      <w:r w:rsidR="0065594D">
        <w:t xml:space="preserve"> and Transformer Loading</w:t>
      </w:r>
    </w:p>
    <w:p w:rsidR="00004C9F" w:rsidRDefault="005142D0" w:rsidP="00317A9D">
      <w:pPr>
        <w:pStyle w:val="ListParagraph"/>
        <w:numPr>
          <w:ilvl w:val="0"/>
          <w:numId w:val="6"/>
        </w:numPr>
        <w:spacing w:line="252" w:lineRule="auto"/>
        <w:jc w:val="both"/>
      </w:pPr>
      <w:r>
        <w:t xml:space="preserve">Review and comment on </w:t>
      </w:r>
      <w:r w:rsidR="00004C9F">
        <w:t>transformer power loss with reference to expected efficiency based on DOE requirements. As feasible and time permits, compare measured losses with estimat</w:t>
      </w:r>
      <w:r w:rsidR="00FE26E8">
        <w:t>ions</w:t>
      </w:r>
      <w:r w:rsidR="00004C9F">
        <w:t xml:space="preserve"> based on standard transformer tables and efficiency curves.</w:t>
      </w:r>
    </w:p>
    <w:p w:rsidR="00004C9F" w:rsidRDefault="00004C9F" w:rsidP="00317A9D">
      <w:pPr>
        <w:pStyle w:val="ListParagraph"/>
        <w:numPr>
          <w:ilvl w:val="0"/>
          <w:numId w:val="6"/>
        </w:numPr>
        <w:spacing w:line="252" w:lineRule="auto"/>
        <w:jc w:val="both"/>
      </w:pPr>
      <w:r>
        <w:t xml:space="preserve">Review and comment on harmonic content. Calculate K-factor, if not directly measured. Compare measured K-factor with transformer K-factor rating, and K-factor rating recommended </w:t>
      </w:r>
      <w:r w:rsidR="00C8207D">
        <w:t>for load type</w:t>
      </w:r>
      <w:r>
        <w:t xml:space="preserve">. </w:t>
      </w:r>
    </w:p>
    <w:p w:rsidR="00317A9D" w:rsidRDefault="00553D50" w:rsidP="00317A9D">
      <w:pPr>
        <w:pStyle w:val="ListParagraph"/>
        <w:numPr>
          <w:ilvl w:val="0"/>
          <w:numId w:val="6"/>
        </w:numPr>
        <w:spacing w:line="252" w:lineRule="auto"/>
        <w:jc w:val="both"/>
      </w:pPr>
      <w:r>
        <w:t>Compare NEC feeder size requirements with feeder size and peak and mean measured loading. Note impact of spare capacity added to panels.</w:t>
      </w:r>
    </w:p>
    <w:p w:rsidR="00317A9D" w:rsidRPr="00443BBE" w:rsidRDefault="00553D50" w:rsidP="00317A9D">
      <w:pPr>
        <w:pStyle w:val="ListParagraph"/>
        <w:numPr>
          <w:ilvl w:val="0"/>
          <w:numId w:val="6"/>
        </w:numPr>
        <w:spacing w:line="252" w:lineRule="auto"/>
        <w:jc w:val="both"/>
      </w:pPr>
      <w:r>
        <w:t>Com</w:t>
      </w:r>
      <w:r w:rsidR="00EF75C2">
        <w:t xml:space="preserve">pare </w:t>
      </w:r>
      <w:r w:rsidR="00FE26E8">
        <w:t xml:space="preserve">panel schedule </w:t>
      </w:r>
      <w:r w:rsidR="00EF75C2">
        <w:t xml:space="preserve">connected and demand </w:t>
      </w:r>
      <w:r w:rsidR="00FE26E8">
        <w:t>load</w:t>
      </w:r>
      <w:r w:rsidR="00EF75C2">
        <w:t xml:space="preserve"> o</w:t>
      </w:r>
      <w:r w:rsidR="00FE26E8">
        <w:t>n</w:t>
      </w:r>
      <w:r w:rsidR="00EF75C2">
        <w:t xml:space="preserve"> panel served by transformer</w:t>
      </w:r>
      <w:r w:rsidR="00FE26E8">
        <w:t xml:space="preserve"> with</w:t>
      </w:r>
      <w:r w:rsidR="00EF75C2">
        <w:t xml:space="preserve"> transformer </w:t>
      </w:r>
      <w:r w:rsidR="00FE26E8">
        <w:t>capacity</w:t>
      </w:r>
      <w:r w:rsidR="00EF75C2">
        <w:t xml:space="preserve">, and </w:t>
      </w:r>
      <w:r>
        <w:t xml:space="preserve">peak and mean transformer loading. </w:t>
      </w:r>
    </w:p>
    <w:p w:rsidR="00317A9D" w:rsidRDefault="00317A9D" w:rsidP="00317A9D">
      <w:r>
        <w:t>Evaluation of Main Feeder Siz</w:t>
      </w:r>
      <w:r w:rsidR="0065594D">
        <w:t>e and Service Transformer Loading</w:t>
      </w:r>
    </w:p>
    <w:p w:rsidR="00004C9F" w:rsidRDefault="00004C9F" w:rsidP="00317A9D">
      <w:pPr>
        <w:pStyle w:val="ListParagraph"/>
        <w:numPr>
          <w:ilvl w:val="0"/>
          <w:numId w:val="7"/>
        </w:numPr>
        <w:spacing w:line="252" w:lineRule="auto"/>
        <w:jc w:val="both"/>
      </w:pPr>
      <w:r>
        <w:t>Review and comment on transformer power loss with reference to expected efficiency based on DOE requirements. As feasible and time permits, compare measured losses with estimat</w:t>
      </w:r>
      <w:r w:rsidR="00FE588D">
        <w:t>ions</w:t>
      </w:r>
      <w:r>
        <w:t xml:space="preserve"> based on standard transformer tables and efficiency curves.</w:t>
      </w:r>
    </w:p>
    <w:p w:rsidR="00FE588D" w:rsidRDefault="00004C9F" w:rsidP="00317A9D">
      <w:pPr>
        <w:pStyle w:val="ListParagraph"/>
        <w:numPr>
          <w:ilvl w:val="0"/>
          <w:numId w:val="7"/>
        </w:numPr>
        <w:spacing w:line="252" w:lineRule="auto"/>
        <w:jc w:val="both"/>
      </w:pPr>
      <w:r>
        <w:t>Review and comment on harmonic content, including in context of IEEE 519.</w:t>
      </w:r>
      <w:r w:rsidR="00C8207D">
        <w:t xml:space="preserve"> </w:t>
      </w:r>
    </w:p>
    <w:p w:rsidR="00004C9F" w:rsidRDefault="00C8207D" w:rsidP="00317A9D">
      <w:pPr>
        <w:pStyle w:val="ListParagraph"/>
        <w:numPr>
          <w:ilvl w:val="0"/>
          <w:numId w:val="7"/>
        </w:numPr>
        <w:spacing w:line="252" w:lineRule="auto"/>
        <w:jc w:val="both"/>
      </w:pPr>
      <w:r>
        <w:t xml:space="preserve">Calculate K-factor, if not directly measured. Compare measured K-factor with transformer K-factor rating, and K-factor rating recommended for building type. </w:t>
      </w:r>
    </w:p>
    <w:p w:rsidR="00EF75C2" w:rsidRDefault="00317A9D" w:rsidP="00317A9D">
      <w:pPr>
        <w:pStyle w:val="ListParagraph"/>
        <w:numPr>
          <w:ilvl w:val="0"/>
          <w:numId w:val="7"/>
        </w:numPr>
        <w:spacing w:line="252" w:lineRule="auto"/>
        <w:jc w:val="both"/>
      </w:pPr>
      <w:r>
        <w:lastRenderedPageBreak/>
        <w:t>Review the measured load data.</w:t>
      </w:r>
      <w:r w:rsidR="00EF75C2">
        <w:t xml:space="preserve"> Observe hourly, weekly, and seasonal patterns. Note if previous main service loading similar to previous year. Calculate peak and mean power density for building. </w:t>
      </w:r>
    </w:p>
    <w:p w:rsidR="00317A9D" w:rsidRDefault="00317A9D" w:rsidP="00317A9D">
      <w:pPr>
        <w:pStyle w:val="ListParagraph"/>
        <w:numPr>
          <w:ilvl w:val="0"/>
          <w:numId w:val="7"/>
        </w:numPr>
        <w:spacing w:line="252" w:lineRule="auto"/>
        <w:jc w:val="both"/>
      </w:pPr>
      <w:r>
        <w:t>C</w:t>
      </w:r>
      <w:r w:rsidR="00EF75C2">
        <w:t>ompare connected and demand power requirements of main service panel, feeder</w:t>
      </w:r>
      <w:r>
        <w:t xml:space="preserve"> siz</w:t>
      </w:r>
      <w:r w:rsidR="00EF75C2">
        <w:t>e</w:t>
      </w:r>
      <w:r>
        <w:t xml:space="preserve"> and transformer </w:t>
      </w:r>
      <w:r w:rsidR="00EF75C2">
        <w:t xml:space="preserve">rating, and feeder size and transformer rating </w:t>
      </w:r>
      <w:r>
        <w:t xml:space="preserve">needed to meet </w:t>
      </w:r>
      <w:r w:rsidR="00EF75C2">
        <w:t>peak power measured</w:t>
      </w:r>
      <w:r>
        <w:t>.</w:t>
      </w:r>
    </w:p>
    <w:p w:rsidR="00317A9D" w:rsidRPr="00043BE0" w:rsidRDefault="00A005CC" w:rsidP="00A27676">
      <w:r w:rsidRPr="00043BE0">
        <w:t>General Evaluation of Power Quality</w:t>
      </w:r>
    </w:p>
    <w:p w:rsidR="00043BE0" w:rsidRDefault="00043BE0" w:rsidP="00A005CC">
      <w:pPr>
        <w:pStyle w:val="ListParagraph"/>
        <w:numPr>
          <w:ilvl w:val="0"/>
          <w:numId w:val="10"/>
        </w:numPr>
      </w:pPr>
      <w:r>
        <w:t>Note any power interruptions and duration.</w:t>
      </w:r>
    </w:p>
    <w:p w:rsidR="00A005CC" w:rsidRDefault="00A005CC" w:rsidP="00A005CC">
      <w:pPr>
        <w:pStyle w:val="ListParagraph"/>
        <w:numPr>
          <w:ilvl w:val="0"/>
          <w:numId w:val="10"/>
        </w:numPr>
      </w:pPr>
      <w:r w:rsidRPr="00043BE0">
        <w:t>Review voltage data. Comment on voltage</w:t>
      </w:r>
      <w:r w:rsidR="00043BE0" w:rsidRPr="00043BE0">
        <w:t xml:space="preserve"> stiffness and relationship to </w:t>
      </w:r>
      <w:r w:rsidRPr="00043BE0">
        <w:t xml:space="preserve">levels established </w:t>
      </w:r>
      <w:r w:rsidR="00043BE0" w:rsidRPr="00043BE0">
        <w:t>in</w:t>
      </w:r>
      <w:r w:rsidRPr="00043BE0">
        <w:t xml:space="preserve"> ANSI C</w:t>
      </w:r>
      <w:r w:rsidR="00043BE0" w:rsidRPr="00043BE0">
        <w:t xml:space="preserve">84.1. Note the presence and frequency of any </w:t>
      </w:r>
      <w:r w:rsidRPr="00043BE0">
        <w:t>voltage</w:t>
      </w:r>
      <w:r w:rsidR="00043BE0" w:rsidRPr="00043BE0">
        <w:t xml:space="preserve"> fluctuations, </w:t>
      </w:r>
      <w:r w:rsidRPr="00043BE0">
        <w:t>sags</w:t>
      </w:r>
      <w:r w:rsidR="00043BE0" w:rsidRPr="00043BE0">
        <w:t>,</w:t>
      </w:r>
      <w:r w:rsidRPr="00043BE0">
        <w:t xml:space="preserve"> </w:t>
      </w:r>
      <w:r w:rsidR="00043BE0" w:rsidRPr="00043BE0">
        <w:t>or</w:t>
      </w:r>
      <w:r w:rsidRPr="00043BE0">
        <w:t xml:space="preserve"> surges</w:t>
      </w:r>
      <w:r w:rsidR="00043BE0" w:rsidRPr="00043BE0">
        <w:t>.</w:t>
      </w:r>
    </w:p>
    <w:p w:rsidR="00043BE0" w:rsidRPr="00043BE0" w:rsidRDefault="00043BE0" w:rsidP="00A005CC">
      <w:pPr>
        <w:pStyle w:val="ListParagraph"/>
        <w:numPr>
          <w:ilvl w:val="0"/>
          <w:numId w:val="10"/>
        </w:numPr>
      </w:pPr>
      <w:r>
        <w:t>Review and comment on harmonic levels.</w:t>
      </w:r>
    </w:p>
    <w:p w:rsidR="00317A9D" w:rsidRPr="00FE26E8" w:rsidRDefault="00317A9D" w:rsidP="007A3CAA">
      <w:pPr>
        <w:rPr>
          <w:b/>
        </w:rPr>
      </w:pPr>
      <w:r w:rsidRPr="00FE26E8">
        <w:rPr>
          <w:b/>
        </w:rPr>
        <w:t>Deliverables</w:t>
      </w:r>
    </w:p>
    <w:p w:rsidR="00317A9D" w:rsidRPr="00FE26E8" w:rsidRDefault="00317A9D" w:rsidP="007A3CAA">
      <w:r w:rsidRPr="00FE26E8">
        <w:t>The final deliverables will be:</w:t>
      </w:r>
    </w:p>
    <w:p w:rsidR="00317A9D" w:rsidRPr="00FE26E8" w:rsidRDefault="00317A9D" w:rsidP="00317A9D">
      <w:pPr>
        <w:pStyle w:val="ListParagraph"/>
        <w:numPr>
          <w:ilvl w:val="0"/>
          <w:numId w:val="8"/>
        </w:numPr>
      </w:pPr>
      <w:r w:rsidRPr="00FE26E8">
        <w:t>Report</w:t>
      </w:r>
      <w:r w:rsidR="00712F4D" w:rsidRPr="00FE26E8">
        <w:t xml:space="preserve"> which contains an extensive loading evaluation of each site</w:t>
      </w:r>
      <w:r w:rsidR="00FE588D">
        <w:t xml:space="preserve"> and a comparison of sites, noting</w:t>
      </w:r>
      <w:r w:rsidR="00712F4D" w:rsidRPr="00FE26E8">
        <w:t xml:space="preserve"> </w:t>
      </w:r>
      <w:r w:rsidR="00FE588D">
        <w:t xml:space="preserve">commonalities </w:t>
      </w:r>
      <w:r w:rsidR="00712F4D" w:rsidRPr="00FE26E8">
        <w:t xml:space="preserve">and differences. </w:t>
      </w:r>
    </w:p>
    <w:p w:rsidR="00317A9D" w:rsidRPr="00FE26E8" w:rsidRDefault="008A02BB" w:rsidP="00317A9D">
      <w:pPr>
        <w:pStyle w:val="ListParagraph"/>
        <w:numPr>
          <w:ilvl w:val="0"/>
          <w:numId w:val="8"/>
        </w:numPr>
      </w:pPr>
      <w:r w:rsidRPr="00FE26E8">
        <w:t>An executive summary with a</w:t>
      </w:r>
      <w:r w:rsidR="00317A9D" w:rsidRPr="00FE26E8">
        <w:t xml:space="preserve"> database</w:t>
      </w:r>
      <w:r w:rsidRPr="00FE26E8">
        <w:t xml:space="preserve"> or one more spreadsheets. Key site i</w:t>
      </w:r>
      <w:r w:rsidR="00317A9D" w:rsidRPr="00FE26E8">
        <w:t>nformation</w:t>
      </w:r>
      <w:r w:rsidRPr="00FE26E8">
        <w:t xml:space="preserve"> will be provided</w:t>
      </w:r>
      <w:r w:rsidR="00317A9D" w:rsidRPr="00FE26E8">
        <w:t xml:space="preserve">, including square foot, </w:t>
      </w:r>
      <w:r w:rsidRPr="00FE26E8">
        <w:t xml:space="preserve">year of construction, </w:t>
      </w:r>
      <w:r w:rsidR="00317A9D" w:rsidRPr="00FE26E8">
        <w:t>number of employee</w:t>
      </w:r>
      <w:r w:rsidRPr="00FE26E8">
        <w:t>s</w:t>
      </w:r>
      <w:r w:rsidR="00317A9D" w:rsidRPr="00FE26E8">
        <w:t>, DOE geographic region, service voltage</w:t>
      </w:r>
      <w:r w:rsidRPr="00FE26E8">
        <w:t>, and energy source for heating, cooling and hot water. Other summary information will include mean and peak power consumption</w:t>
      </w:r>
      <w:r w:rsidR="00FE588D">
        <w:t xml:space="preserve"> </w:t>
      </w:r>
      <w:r w:rsidR="00FE588D" w:rsidRPr="00FE26E8">
        <w:t>(W/ft</w:t>
      </w:r>
      <w:r w:rsidR="00FE588D" w:rsidRPr="00FE26E8">
        <w:rPr>
          <w:vertAlign w:val="superscript"/>
        </w:rPr>
        <w:t>2</w:t>
      </w:r>
      <w:r w:rsidR="00FE588D" w:rsidRPr="00FE26E8">
        <w:t>)</w:t>
      </w:r>
      <w:r w:rsidR="00FE588D">
        <w:t xml:space="preserve">, lighting, receptacle, </w:t>
      </w:r>
      <w:r w:rsidRPr="00FE26E8">
        <w:t>HVAC</w:t>
      </w:r>
      <w:r w:rsidR="00FE588D">
        <w:t>, and other</w:t>
      </w:r>
      <w:r w:rsidRPr="00FE26E8">
        <w:t xml:space="preserve"> loads as applicable. </w:t>
      </w:r>
      <w:r w:rsidR="00FE588D">
        <w:t>Transformer capacity and m</w:t>
      </w:r>
      <w:r w:rsidRPr="00FE26E8">
        <w:t xml:space="preserve">ean and peak power requirements will also be included. </w:t>
      </w:r>
    </w:p>
    <w:p w:rsidR="008A02BB" w:rsidRPr="00FE26E8" w:rsidRDefault="008A02BB" w:rsidP="00317A9D">
      <w:pPr>
        <w:pStyle w:val="ListParagraph"/>
        <w:numPr>
          <w:ilvl w:val="0"/>
          <w:numId w:val="8"/>
        </w:numPr>
      </w:pPr>
      <w:r w:rsidRPr="00FE26E8">
        <w:t>Individual site archives: all requested documentation and information and data</w:t>
      </w:r>
      <w:r w:rsidR="00665D80" w:rsidRPr="00FE26E8">
        <w:t>.</w:t>
      </w:r>
    </w:p>
    <w:p w:rsidR="007A3CAA" w:rsidRPr="00FE26E8" w:rsidRDefault="00CA42D2" w:rsidP="007A3CAA">
      <w:pPr>
        <w:rPr>
          <w:b/>
        </w:rPr>
      </w:pPr>
      <w:r w:rsidRPr="00FE26E8">
        <w:rPr>
          <w:b/>
        </w:rPr>
        <w:t>Budget</w:t>
      </w:r>
    </w:p>
    <w:p w:rsidR="00CA42D2" w:rsidRDefault="00CA42D2" w:rsidP="007A3CAA">
      <w:r>
        <w:t xml:space="preserve">The budget depends largely on research project sponsorship and final group of commercial buildings selected. </w:t>
      </w:r>
      <w:r w:rsidR="0084532B">
        <w:t>F</w:t>
      </w:r>
      <w:r>
        <w:t xml:space="preserve">or example, </w:t>
      </w:r>
      <w:r w:rsidR="0084532B">
        <w:t xml:space="preserve">if </w:t>
      </w:r>
      <w:r>
        <w:t>universities sponsor the project</w:t>
      </w:r>
      <w:r w:rsidR="0084532B">
        <w:t xml:space="preserve"> (with locations identified in Table 2),</w:t>
      </w:r>
      <w:r>
        <w:t xml:space="preserve"> provide monitoring equipment, and a working staff to install the monitoring equipment and supervise data collection on site, the only out-of-pocket expense would be for project management</w:t>
      </w:r>
      <w:r w:rsidR="0084532B">
        <w:t xml:space="preserve">. Project management costs might be estimated </w:t>
      </w:r>
      <w:r w:rsidR="00043BE0">
        <w:t>t</w:t>
      </w:r>
      <w:r w:rsidR="0084532B">
        <w:t>o cover a two-year period from project inception to delivery of final report.</w:t>
      </w:r>
    </w:p>
    <w:sectPr w:rsidR="00CA42D2" w:rsidSect="002E2689">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97" w:rsidRDefault="00232797" w:rsidP="00CA42D2">
      <w:pPr>
        <w:spacing w:after="0" w:line="240" w:lineRule="auto"/>
      </w:pPr>
      <w:r>
        <w:separator/>
      </w:r>
    </w:p>
  </w:endnote>
  <w:endnote w:type="continuationSeparator" w:id="0">
    <w:p w:rsidR="00232797" w:rsidRDefault="00232797" w:rsidP="00CA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438187"/>
      <w:docPartObj>
        <w:docPartGallery w:val="Page Numbers (Bottom of Page)"/>
        <w:docPartUnique/>
      </w:docPartObj>
    </w:sdtPr>
    <w:sdtContent>
      <w:p w:rsidR="007D5E9D" w:rsidRDefault="007D5E9D">
        <w:pPr>
          <w:pStyle w:val="Footer"/>
          <w:jc w:val="right"/>
        </w:pPr>
        <w:r>
          <w:t xml:space="preserve">Page | </w:t>
        </w:r>
        <w:r>
          <w:fldChar w:fldCharType="begin"/>
        </w:r>
        <w:r>
          <w:instrText xml:space="preserve"> PAGE   \* MERGEFORMAT </w:instrText>
        </w:r>
        <w:r>
          <w:fldChar w:fldCharType="separate"/>
        </w:r>
        <w:r w:rsidR="00825A58">
          <w:rPr>
            <w:noProof/>
          </w:rPr>
          <w:t>12</w:t>
        </w:r>
        <w:r>
          <w:rPr>
            <w:noProof/>
          </w:rPr>
          <w:fldChar w:fldCharType="end"/>
        </w:r>
        <w:r>
          <w:t xml:space="preserve"> </w:t>
        </w:r>
      </w:p>
    </w:sdtContent>
  </w:sdt>
  <w:p w:rsidR="007D5E9D" w:rsidRDefault="007D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97" w:rsidRDefault="00232797" w:rsidP="00CA42D2">
      <w:pPr>
        <w:spacing w:after="0" w:line="240" w:lineRule="auto"/>
      </w:pPr>
      <w:r>
        <w:separator/>
      </w:r>
    </w:p>
  </w:footnote>
  <w:footnote w:type="continuationSeparator" w:id="0">
    <w:p w:rsidR="00232797" w:rsidRDefault="00232797" w:rsidP="00CA42D2">
      <w:pPr>
        <w:spacing w:after="0" w:line="240" w:lineRule="auto"/>
      </w:pPr>
      <w:r>
        <w:continuationSeparator/>
      </w:r>
    </w:p>
  </w:footnote>
  <w:footnote w:id="1">
    <w:p w:rsidR="007D5E9D" w:rsidRDefault="007D5E9D">
      <w:pPr>
        <w:pStyle w:val="FootnoteText"/>
      </w:pPr>
      <w:r>
        <w:rPr>
          <w:rStyle w:val="FootnoteReference"/>
        </w:rPr>
        <w:footnoteRef/>
      </w:r>
      <w:r>
        <w:t xml:space="preserve"> A plug-load study at Lawrence Berkeley National Labs found that a 2-month study of plug-loads was long enough to estimate annual energy consumption with reasonable accuracy. The study monitored 455 plug loads for at least 6 months and many for over a year. The monitored plug-loads were selected from 4,454 inventoried plug-loads in an 89,500 square feet office building on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D6" w:rsidRDefault="00AD4DD6">
    <w:pPr>
      <w:pStyle w:val="Header"/>
    </w:pPr>
    <w:r>
      <w:ptab w:relativeTo="margin" w:alignment="center" w:leader="none"/>
    </w:r>
    <w:r>
      <w:ptab w:relativeTo="margin" w:alignment="right" w:leader="none"/>
    </w:r>
    <w:fldSimple w:instr=" FILENAME   \* MERGEFORMAT ">
      <w:r w:rsidR="00825A58">
        <w:rPr>
          <w:noProof/>
        </w:rPr>
        <w:t>2016Oct14 DataCollectionPlan</w:t>
      </w:r>
    </w:fldSimple>
  </w:p>
  <w:p w:rsidR="007D5E9D" w:rsidRDefault="007D5E9D">
    <w:pPr>
      <w:pStyle w:val="Header"/>
    </w:pPr>
    <w:sdt>
      <w:sdtPr>
        <w:id w:val="555666999"/>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4E8"/>
    <w:multiLevelType w:val="hybridMultilevel"/>
    <w:tmpl w:val="CD24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66ED8"/>
    <w:multiLevelType w:val="hybridMultilevel"/>
    <w:tmpl w:val="5644FB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2A95C0E"/>
    <w:multiLevelType w:val="hybridMultilevel"/>
    <w:tmpl w:val="CD24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52816"/>
    <w:multiLevelType w:val="hybridMultilevel"/>
    <w:tmpl w:val="6F080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A5DAC"/>
    <w:multiLevelType w:val="hybridMultilevel"/>
    <w:tmpl w:val="3932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F19EB"/>
    <w:multiLevelType w:val="hybridMultilevel"/>
    <w:tmpl w:val="68D8C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76D21"/>
    <w:multiLevelType w:val="hybridMultilevel"/>
    <w:tmpl w:val="A3AE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40400"/>
    <w:multiLevelType w:val="hybridMultilevel"/>
    <w:tmpl w:val="5B40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C4991"/>
    <w:multiLevelType w:val="hybridMultilevel"/>
    <w:tmpl w:val="DD7C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05BDA"/>
    <w:multiLevelType w:val="hybridMultilevel"/>
    <w:tmpl w:val="3932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8"/>
  </w:num>
  <w:num w:numId="6">
    <w:abstractNumId w:val="2"/>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51"/>
    <w:rsid w:val="00004C9F"/>
    <w:rsid w:val="000052A7"/>
    <w:rsid w:val="00043BE0"/>
    <w:rsid w:val="00043DC6"/>
    <w:rsid w:val="00057342"/>
    <w:rsid w:val="00062863"/>
    <w:rsid w:val="000821D8"/>
    <w:rsid w:val="0009322D"/>
    <w:rsid w:val="0009578D"/>
    <w:rsid w:val="000C26B3"/>
    <w:rsid w:val="000E21A1"/>
    <w:rsid w:val="000F646C"/>
    <w:rsid w:val="00106004"/>
    <w:rsid w:val="00127C85"/>
    <w:rsid w:val="001718A4"/>
    <w:rsid w:val="00190A60"/>
    <w:rsid w:val="001E4364"/>
    <w:rsid w:val="001F60B1"/>
    <w:rsid w:val="00216012"/>
    <w:rsid w:val="0023114E"/>
    <w:rsid w:val="00232797"/>
    <w:rsid w:val="00260A66"/>
    <w:rsid w:val="00273173"/>
    <w:rsid w:val="002744D5"/>
    <w:rsid w:val="00285428"/>
    <w:rsid w:val="002C1F74"/>
    <w:rsid w:val="002E2689"/>
    <w:rsid w:val="002F7117"/>
    <w:rsid w:val="00301734"/>
    <w:rsid w:val="00301B01"/>
    <w:rsid w:val="00317A9D"/>
    <w:rsid w:val="003277B2"/>
    <w:rsid w:val="00336473"/>
    <w:rsid w:val="00346831"/>
    <w:rsid w:val="00363803"/>
    <w:rsid w:val="00364593"/>
    <w:rsid w:val="00371458"/>
    <w:rsid w:val="0038752B"/>
    <w:rsid w:val="003A0A33"/>
    <w:rsid w:val="003A0DB2"/>
    <w:rsid w:val="003B498A"/>
    <w:rsid w:val="003C3B5F"/>
    <w:rsid w:val="003E661E"/>
    <w:rsid w:val="003F3FE1"/>
    <w:rsid w:val="00424B87"/>
    <w:rsid w:val="00443BBE"/>
    <w:rsid w:val="00464F56"/>
    <w:rsid w:val="00485D08"/>
    <w:rsid w:val="00487C10"/>
    <w:rsid w:val="00492F6F"/>
    <w:rsid w:val="004A54D3"/>
    <w:rsid w:val="004D3329"/>
    <w:rsid w:val="004E69B9"/>
    <w:rsid w:val="005142D0"/>
    <w:rsid w:val="00542C8B"/>
    <w:rsid w:val="00542D4F"/>
    <w:rsid w:val="0054561D"/>
    <w:rsid w:val="00553D50"/>
    <w:rsid w:val="00574422"/>
    <w:rsid w:val="00595DCA"/>
    <w:rsid w:val="005A1EA0"/>
    <w:rsid w:val="005A47BD"/>
    <w:rsid w:val="005A76DF"/>
    <w:rsid w:val="005C4A0D"/>
    <w:rsid w:val="005F6692"/>
    <w:rsid w:val="00600727"/>
    <w:rsid w:val="006058D2"/>
    <w:rsid w:val="00621250"/>
    <w:rsid w:val="006216F5"/>
    <w:rsid w:val="00634B19"/>
    <w:rsid w:val="0065594D"/>
    <w:rsid w:val="00660AC3"/>
    <w:rsid w:val="00665D80"/>
    <w:rsid w:val="006A70EA"/>
    <w:rsid w:val="006B1CE3"/>
    <w:rsid w:val="00701ED6"/>
    <w:rsid w:val="00705B64"/>
    <w:rsid w:val="00711DC1"/>
    <w:rsid w:val="00712F4D"/>
    <w:rsid w:val="0073184C"/>
    <w:rsid w:val="00743B4F"/>
    <w:rsid w:val="0077713E"/>
    <w:rsid w:val="0078449F"/>
    <w:rsid w:val="00784D0D"/>
    <w:rsid w:val="00792E92"/>
    <w:rsid w:val="007A13B1"/>
    <w:rsid w:val="007A3CAA"/>
    <w:rsid w:val="007A7393"/>
    <w:rsid w:val="007D5E9D"/>
    <w:rsid w:val="007E487F"/>
    <w:rsid w:val="007E629A"/>
    <w:rsid w:val="00806168"/>
    <w:rsid w:val="008170A1"/>
    <w:rsid w:val="00825A58"/>
    <w:rsid w:val="00825D4E"/>
    <w:rsid w:val="0084532B"/>
    <w:rsid w:val="00847118"/>
    <w:rsid w:val="0085792F"/>
    <w:rsid w:val="00866F5A"/>
    <w:rsid w:val="00884CEE"/>
    <w:rsid w:val="008A02BB"/>
    <w:rsid w:val="008B4167"/>
    <w:rsid w:val="008C341A"/>
    <w:rsid w:val="008D3140"/>
    <w:rsid w:val="009056CE"/>
    <w:rsid w:val="009109FA"/>
    <w:rsid w:val="00911940"/>
    <w:rsid w:val="00921F11"/>
    <w:rsid w:val="00926B1B"/>
    <w:rsid w:val="009345AA"/>
    <w:rsid w:val="009417FE"/>
    <w:rsid w:val="0096181E"/>
    <w:rsid w:val="00975388"/>
    <w:rsid w:val="00994E47"/>
    <w:rsid w:val="009D5501"/>
    <w:rsid w:val="009E3E02"/>
    <w:rsid w:val="00A005CC"/>
    <w:rsid w:val="00A0240A"/>
    <w:rsid w:val="00A06E80"/>
    <w:rsid w:val="00A27676"/>
    <w:rsid w:val="00A346C9"/>
    <w:rsid w:val="00A535F2"/>
    <w:rsid w:val="00A579E0"/>
    <w:rsid w:val="00A73AB4"/>
    <w:rsid w:val="00A73E60"/>
    <w:rsid w:val="00A76862"/>
    <w:rsid w:val="00A81869"/>
    <w:rsid w:val="00AA0058"/>
    <w:rsid w:val="00AB2954"/>
    <w:rsid w:val="00AB307A"/>
    <w:rsid w:val="00AC5F6E"/>
    <w:rsid w:val="00AD4DD6"/>
    <w:rsid w:val="00AE3A80"/>
    <w:rsid w:val="00B01D72"/>
    <w:rsid w:val="00B314D1"/>
    <w:rsid w:val="00B330F8"/>
    <w:rsid w:val="00B44A7C"/>
    <w:rsid w:val="00B44C3C"/>
    <w:rsid w:val="00B705CA"/>
    <w:rsid w:val="00B75ADC"/>
    <w:rsid w:val="00B82EB2"/>
    <w:rsid w:val="00BA28E8"/>
    <w:rsid w:val="00BD6FBC"/>
    <w:rsid w:val="00BD7622"/>
    <w:rsid w:val="00BE27F1"/>
    <w:rsid w:val="00C017EF"/>
    <w:rsid w:val="00C405A3"/>
    <w:rsid w:val="00C427F4"/>
    <w:rsid w:val="00C679DE"/>
    <w:rsid w:val="00C8207D"/>
    <w:rsid w:val="00CA42D2"/>
    <w:rsid w:val="00CA5309"/>
    <w:rsid w:val="00CC5D68"/>
    <w:rsid w:val="00D067D9"/>
    <w:rsid w:val="00D13B5E"/>
    <w:rsid w:val="00D20326"/>
    <w:rsid w:val="00D22151"/>
    <w:rsid w:val="00D537AD"/>
    <w:rsid w:val="00D620F4"/>
    <w:rsid w:val="00D66CB6"/>
    <w:rsid w:val="00D67EA5"/>
    <w:rsid w:val="00D70294"/>
    <w:rsid w:val="00D71C42"/>
    <w:rsid w:val="00D77D9A"/>
    <w:rsid w:val="00DB3B22"/>
    <w:rsid w:val="00DC5B0D"/>
    <w:rsid w:val="00DD735E"/>
    <w:rsid w:val="00DF71B5"/>
    <w:rsid w:val="00E00DA6"/>
    <w:rsid w:val="00E175F2"/>
    <w:rsid w:val="00E220F6"/>
    <w:rsid w:val="00E669DD"/>
    <w:rsid w:val="00E8283D"/>
    <w:rsid w:val="00EB44FC"/>
    <w:rsid w:val="00EB7150"/>
    <w:rsid w:val="00EC7E2B"/>
    <w:rsid w:val="00EE182C"/>
    <w:rsid w:val="00EF75C2"/>
    <w:rsid w:val="00F07B39"/>
    <w:rsid w:val="00F135BD"/>
    <w:rsid w:val="00F15A05"/>
    <w:rsid w:val="00F215CE"/>
    <w:rsid w:val="00F22117"/>
    <w:rsid w:val="00F3533E"/>
    <w:rsid w:val="00F37167"/>
    <w:rsid w:val="00F92007"/>
    <w:rsid w:val="00FA1010"/>
    <w:rsid w:val="00FB0B7E"/>
    <w:rsid w:val="00FE26E8"/>
    <w:rsid w:val="00FE529F"/>
    <w:rsid w:val="00FE588D"/>
    <w:rsid w:val="00FF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56B9CF"/>
  <w15:chartTrackingRefBased/>
  <w15:docId w15:val="{63F8B9CD-C970-41C2-A119-EBBBD6E6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1">
    <w:name w:val="List Table 4 Accent 1"/>
    <w:basedOn w:val="TableNormal"/>
    <w:uiPriority w:val="49"/>
    <w:rsid w:val="00D22151"/>
    <w:pPr>
      <w:spacing w:after="0" w:line="240" w:lineRule="auto"/>
      <w:jc w:val="both"/>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884CEE"/>
    <w:rPr>
      <w:color w:val="808080"/>
    </w:rPr>
  </w:style>
  <w:style w:type="paragraph" w:styleId="ListParagraph">
    <w:name w:val="List Paragraph"/>
    <w:basedOn w:val="Normal"/>
    <w:uiPriority w:val="34"/>
    <w:qFormat/>
    <w:rsid w:val="00EB7150"/>
    <w:pPr>
      <w:ind w:left="720"/>
      <w:contextualSpacing/>
    </w:pPr>
  </w:style>
  <w:style w:type="paragraph" w:styleId="BalloonText">
    <w:name w:val="Balloon Text"/>
    <w:basedOn w:val="Normal"/>
    <w:link w:val="BalloonTextChar"/>
    <w:uiPriority w:val="99"/>
    <w:semiHidden/>
    <w:unhideWhenUsed/>
    <w:rsid w:val="00D53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7AD"/>
    <w:rPr>
      <w:rFonts w:ascii="Segoe UI" w:hAnsi="Segoe UI" w:cs="Segoe UI"/>
      <w:sz w:val="18"/>
      <w:szCs w:val="18"/>
    </w:rPr>
  </w:style>
  <w:style w:type="table" w:styleId="GridTable4-Accent1">
    <w:name w:val="Grid Table 4 Accent 1"/>
    <w:basedOn w:val="TableNormal"/>
    <w:uiPriority w:val="49"/>
    <w:rsid w:val="00057342"/>
    <w:pPr>
      <w:spacing w:after="0" w:line="240" w:lineRule="auto"/>
      <w:jc w:val="both"/>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A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2D2"/>
  </w:style>
  <w:style w:type="paragraph" w:styleId="Footer">
    <w:name w:val="footer"/>
    <w:basedOn w:val="Normal"/>
    <w:link w:val="FooterChar"/>
    <w:uiPriority w:val="99"/>
    <w:unhideWhenUsed/>
    <w:rsid w:val="00CA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2D2"/>
  </w:style>
  <w:style w:type="paragraph" w:styleId="FootnoteText">
    <w:name w:val="footnote text"/>
    <w:basedOn w:val="Normal"/>
    <w:link w:val="FootnoteTextChar"/>
    <w:uiPriority w:val="99"/>
    <w:semiHidden/>
    <w:unhideWhenUsed/>
    <w:rsid w:val="008C3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41A"/>
    <w:rPr>
      <w:sz w:val="20"/>
      <w:szCs w:val="20"/>
    </w:rPr>
  </w:style>
  <w:style w:type="character" w:styleId="FootnoteReference">
    <w:name w:val="footnote reference"/>
    <w:basedOn w:val="DefaultParagraphFont"/>
    <w:uiPriority w:val="99"/>
    <w:semiHidden/>
    <w:unhideWhenUsed/>
    <w:rsid w:val="008C3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4F"/>
    <w:rsid w:val="004E794F"/>
    <w:rsid w:val="0089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9C98C8A1AC40498C4247EE82E78FAC">
    <w:name w:val="869C98C8A1AC40498C4247EE82E78FAC"/>
    <w:rsid w:val="004E7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AC43-0A85-4B40-A11E-92248937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4559</Words>
  <Characters>25988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Gammon</dc:creator>
  <cp:keywords/>
  <dc:description/>
  <cp:lastModifiedBy>Tammy Gammon</cp:lastModifiedBy>
  <cp:revision>6</cp:revision>
  <cp:lastPrinted>2016-10-14T17:21:00Z</cp:lastPrinted>
  <dcterms:created xsi:type="dcterms:W3CDTF">2016-10-14T15:32:00Z</dcterms:created>
  <dcterms:modified xsi:type="dcterms:W3CDTF">2016-10-14T17:22:00Z</dcterms:modified>
</cp:coreProperties>
</file>